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E22BE6C6">
      <w:pPr>
        <w:pStyle w:val="style0"/>
        <w:spacing w:after="400" w:lineRule="auto" w:line="240"/>
        <w:jc w:val="left"/>
        <w:rPr/>
      </w:pPr>
      <w:r>
        <w:rPr>
          <w:rFonts w:ascii="Times New Roman" w:cs="Times New Roman" w:eastAsia="Times New Roman" w:hAnsi="Times New Roman"/>
          <w:b/>
          <w:bCs/>
          <w:sz w:val="28"/>
          <w:szCs w:val="28"/>
        </w:rPr>
        <w:t xml:space="preserve">       INDIGENOUS MATERIALS FOR MODERN ARCHITECTURE IN NIGERIA</w:t>
      </w:r>
    </w:p>
    <w:p w14:paraId="A6465EF2">
      <w:pPr>
        <w:pStyle w:val="style0"/>
        <w:spacing w:after="120" w:lineRule="auto" w:line="240"/>
        <w:jc w:val="center"/>
        <w:rPr/>
      </w:pPr>
      <w:r>
        <w:rPr>
          <w:rFonts w:ascii="Times New Roman" w:cs="Times New Roman" w:eastAsia="宋体" w:hAnsi="Times New Roman" w:hint="default"/>
          <w:b/>
          <w:bCs/>
          <w:i w:val="false"/>
          <w:iCs w:val="false"/>
          <w:color w:val="auto"/>
          <w:sz w:val="21"/>
          <w:szCs w:val="20"/>
          <w:highlight w:val="none"/>
          <w:vertAlign w:val="baseline"/>
          <w:em w:val="none"/>
          <w:lang w:val="en-US"/>
        </w:rPr>
        <w:t>Umar</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Abdulazeez</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Saidu</w:t>
      </w:r>
    </w:p>
    <w:p w14:paraId="4B672019">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Department</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of</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Architectural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Technology,</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p>
    <w:p w14:paraId="3B95D2E3">
      <w:pPr>
        <w:pStyle w:val="style0"/>
        <w:spacing w:after="120" w:lineRule="auto" w:line="240"/>
        <w:jc w:val="cente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Federal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Polytechnic</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Ukana,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Akwa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Ibom</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State.</w:t>
      </w:r>
    </w:p>
    <w:p w14:paraId="3A27CB82">
      <w:pPr>
        <w:pStyle w:val="style0"/>
        <w:spacing w:after="120" w:lineRule="auto" w:line="240"/>
        <w:jc w:val="center"/>
        <w:rPr>
          <w:rFonts w:ascii="Times New Roman" w:cs="Times New Roman" w:eastAsia="宋体" w:hAnsi="Times New Roman" w:hint="default"/>
          <w:b/>
          <w:bCs/>
          <w:i w:val="false"/>
          <w:iCs w:val="false"/>
          <w:color w:val="auto"/>
          <w:sz w:val="21"/>
          <w:szCs w:val="20"/>
          <w:highlight w:val="none"/>
          <w:vertAlign w:val="baseline"/>
          <w:em w:val="none"/>
          <w:lang w:val="en-US"/>
        </w:rPr>
      </w:pPr>
      <w:r>
        <w:rPr>
          <w:rFonts w:ascii="Times New Roman" w:cs="Times New Roman" w:eastAsia="宋体" w:hAnsi="Times New Roman" w:hint="default"/>
          <w:b/>
          <w:bCs/>
          <w:i w:val="false"/>
          <w:iCs w:val="false"/>
          <w:color w:val="auto"/>
          <w:sz w:val="21"/>
          <w:szCs w:val="20"/>
          <w:highlight w:val="none"/>
          <w:vertAlign w:val="baseline"/>
          <w:em w:val="none"/>
          <w:lang w:val="en-US"/>
        </w:rPr>
        <w:t>Hannah</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Yetunde</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Obamoh</w:t>
      </w:r>
    </w:p>
    <w:p w14:paraId="C79D8398">
      <w:pPr>
        <w:pStyle w:val="style0"/>
        <w:spacing w:after="120" w:lineRule="auto" w:line="240"/>
        <w:jc w:val="center"/>
        <w:rPr>
          <w:rFonts w:ascii="Times New Roman" w:cs="Times New Roman" w:eastAsia="宋体" w:hAnsi="Times New Roman" w:hint="default"/>
          <w:b/>
          <w:bCs/>
          <w:i w:val="false"/>
          <w:iCs w:val="false"/>
          <w:color w:val="auto"/>
          <w:sz w:val="21"/>
          <w:szCs w:val="20"/>
          <w:highlight w:val="none"/>
          <w:vertAlign w:val="baseline"/>
          <w:em w:val="none"/>
          <w:lang w:val="en-US"/>
        </w:rPr>
      </w:pPr>
    </w:p>
    <w:p w14:paraId="62F8A02E">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Department</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of</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Architectural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Technology,</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p>
    <w:p w14:paraId="D89BC5E7">
      <w:pPr>
        <w:pStyle w:val="style0"/>
        <w:spacing w:after="120" w:lineRule="auto" w:line="240"/>
        <w:jc w:val="center"/>
        <w:rPr>
          <w:rFonts w:ascii="Times New Roman" w:cs="Times New Roman" w:eastAsia="宋体" w:hAnsi="Times New Roman" w:hint="default"/>
          <w:b/>
          <w:bCs/>
          <w:i w:val="false"/>
          <w:iCs w:val="false"/>
          <w:color w:val="auto"/>
          <w:sz w:val="21"/>
          <w:szCs w:val="20"/>
          <w:highlight w:val="none"/>
          <w:vertAlign w:val="baseline"/>
          <w:em w:val="none"/>
          <w:lang w:val="en-US"/>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Federal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Polytechnic</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Ukana,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Akwa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Ibom</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State.</w:t>
      </w:r>
    </w:p>
    <w:p w14:paraId="060E07E6">
      <w:pPr>
        <w:pStyle w:val="style0"/>
        <w:spacing w:after="120" w:lineRule="auto" w:line="240"/>
        <w:jc w:val="center"/>
        <w:rPr>
          <w:b/>
          <w:bCs/>
          <w:lang w:val="en-US"/>
        </w:rPr>
      </w:pPr>
      <w:r>
        <w:rPr>
          <w:b/>
          <w:bCs/>
          <w:lang w:val="en-US"/>
        </w:rPr>
        <w:t>Yusuf Usman</w:t>
      </w:r>
    </w:p>
    <w:p w14:paraId="EFB61D9D">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Department</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of</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Architecture,</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p>
    <w:p w14:paraId="AFB0A4C2">
      <w:pPr>
        <w:pStyle w:val="style0"/>
        <w:spacing w:after="120" w:lineRule="auto" w:line="240"/>
        <w:jc w:val="cente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Kaduna Polytechnic,</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Kaduna State.</w:t>
      </w:r>
    </w:p>
    <w:p w14:paraId="6947B4FC">
      <w:pPr>
        <w:pStyle w:val="style0"/>
        <w:spacing w:after="120" w:lineRule="auto" w:line="240"/>
        <w:jc w:val="center"/>
        <w:rPr/>
      </w:pPr>
    </w:p>
    <w:p w14:paraId="F5BE1029">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Corresponding</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Author:</w:t>
      </w:r>
    </w:p>
    <w:p w14:paraId="D9AD1251">
      <w:pPr>
        <w:pStyle w:val="style0"/>
        <w:spacing w:after="300" w:lineRule="auto" w:line="480"/>
        <w:jc w:val="center"/>
        <w:rPr>
          <w:rFonts w:ascii="Times New Roman" w:cs="Times New Roman" w:eastAsia="Times New Roman" w:hAnsi="Times New Roman" w:hint="default"/>
          <w:b w:val="false"/>
          <w:bCs w:val="false"/>
          <w:i w:val="false"/>
          <w:iCs w:val="false"/>
          <w:color w:val="auto"/>
          <w:sz w:val="22"/>
          <w:szCs w:val="22"/>
          <w:highlight w:val="none"/>
          <w:u w:val="single" w:color="auto"/>
          <w:vertAlign w:val="baseline"/>
          <w:em w:val="none"/>
          <w:lang w:val="en-US"/>
        </w:rPr>
      </w:pPr>
      <w:r>
        <w:rPr>
          <w:rFonts w:ascii="Times New Roman" w:cs="Times New Roman" w:eastAsia="Times New Roman" w:hAnsi="Times New Roman" w:hint="default"/>
          <w:b w:val="false"/>
          <w:bCs w:val="false"/>
          <w:i w:val="false"/>
          <w:iCs w:val="false"/>
          <w:color w:val="auto"/>
          <w:sz w:val="22"/>
          <w:szCs w:val="22"/>
          <w:highlight w:val="none"/>
          <w:u w:val="single" w:color="auto"/>
          <w:vertAlign w:val="baseline"/>
          <w:em w:val="none"/>
          <w:lang w:val="en-US"/>
        </w:rPr>
        <w:t>saidu.umar@fedpolyukana.edu.ng</w:t>
      </w:r>
    </w:p>
    <w:p w14:paraId="BED70021">
      <w:pPr>
        <w:pStyle w:val="style0"/>
        <w:spacing w:after="300" w:lineRule="auto" w:line="480"/>
        <w:jc w:val="center"/>
        <w:rPr>
          <w:rFonts w:ascii="Times New Roman" w:cs="Times New Roman" w:eastAsia="Times New Roman" w:hAnsi="Times New Roman"/>
          <w:b/>
          <w:bCs/>
          <w:sz w:val="24"/>
          <w:szCs w:val="24"/>
        </w:rPr>
      </w:pPr>
    </w:p>
    <w:p w14:paraId="0D90FDA5">
      <w:pPr>
        <w:pStyle w:val="style0"/>
        <w:spacing w:after="300" w:lineRule="auto" w:line="480"/>
        <w:jc w:val="left"/>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ABSTRACT</w:t>
      </w:r>
    </w:p>
    <w:p w14:paraId="14CFD21A">
      <w:pPr>
        <w:pStyle w:val="style0"/>
        <w:spacing w:after="300" w:lineRule="auto" w:line="360"/>
        <w:jc w:val="both"/>
        <w:rPr>
          <w:i/>
          <w:iCs/>
        </w:rPr>
      </w:pPr>
      <w:r>
        <w:rPr>
          <w:rFonts w:ascii="Times New Roman" w:cs="Times New Roman" w:eastAsia="Times New Roman" w:hAnsi="Times New Roman"/>
          <w:i/>
          <w:iCs/>
          <w:sz w:val="24"/>
          <w:szCs w:val="24"/>
        </w:rPr>
        <w:t>Nigerian architecture continues to rely on imported, energy</w:t>
      </w:r>
      <w:r>
        <w:rPr>
          <w:rFonts w:ascii="Times New Roman" w:cs="Times New Roman" w:eastAsia="Times New Roman" w:hAnsi="Times New Roman"/>
          <w:i/>
          <w:iCs/>
          <w:sz w:val="24"/>
          <w:szCs w:val="24"/>
          <w:lang w:val="en-US"/>
        </w:rPr>
        <w:t xml:space="preserve"> i</w:t>
      </w:r>
      <w:r>
        <w:rPr>
          <w:rFonts w:ascii="Times New Roman" w:cs="Times New Roman" w:eastAsia="Times New Roman" w:hAnsi="Times New Roman"/>
          <w:i/>
          <w:iCs/>
          <w:sz w:val="24"/>
          <w:szCs w:val="24"/>
        </w:rPr>
        <w:t>ntensive materials such as cement, steel and glass, even though the country holds an abundant stock of indigenous resources capable of supporting durable, climate</w:t>
      </w:r>
      <w:r>
        <w:rPr>
          <w:rFonts w:ascii="Times New Roman" w:cs="Times New Roman" w:eastAsia="Times New Roman" w:hAnsi="Times New Roman"/>
          <w:i/>
          <w:iCs/>
          <w:sz w:val="24"/>
          <w:szCs w:val="24"/>
          <w:lang w:val="en-US"/>
        </w:rPr>
        <w:t xml:space="preserve"> r</w:t>
      </w:r>
      <w:r>
        <w:rPr>
          <w:rFonts w:ascii="Times New Roman" w:cs="Times New Roman" w:eastAsia="Times New Roman" w:hAnsi="Times New Roman"/>
          <w:i/>
          <w:iCs/>
          <w:sz w:val="24"/>
          <w:szCs w:val="24"/>
        </w:rPr>
        <w:t xml:space="preserve">esponsive buildings. Materials such as laterite, mud, bamboo and agricultural residues remain largely confined to rural or informal construction, held back by perceptions of low status, uncertain durability and the absence of a coherent professional pathway for bringing them into formal, urban practice. </w:t>
      </w:r>
    </w:p>
    <w:p w14:paraId="8172C08D">
      <w:pPr>
        <w:pStyle w:val="style0"/>
        <w:spacing w:after="90" w:lineRule="auto" w:line="360"/>
        <w:jc w:val="both"/>
        <w:rPr>
          <w:i/>
          <w:iCs/>
        </w:rPr>
      </w:pPr>
      <w:r>
        <w:rPr>
          <w:rFonts w:ascii="Times New Roman" w:cs="Times New Roman" w:eastAsia="Times New Roman" w:hAnsi="Times New Roman"/>
          <w:i/>
          <w:iCs/>
          <w:sz w:val="24"/>
          <w:szCs w:val="24"/>
        </w:rPr>
        <w:t>A qualitative desk</w:t>
      </w:r>
      <w:r>
        <w:rPr>
          <w:rFonts w:ascii="Times New Roman" w:cs="Times New Roman" w:eastAsia="Times New Roman" w:hAnsi="Times New Roman"/>
          <w:i/>
          <w:iCs/>
          <w:sz w:val="24"/>
          <w:szCs w:val="24"/>
          <w:lang w:val="en-US"/>
        </w:rPr>
        <w:t xml:space="preserve"> r</w:t>
      </w:r>
      <w:r>
        <w:rPr>
          <w:rFonts w:ascii="Times New Roman" w:cs="Times New Roman" w:eastAsia="Times New Roman" w:hAnsi="Times New Roman"/>
          <w:i/>
          <w:iCs/>
          <w:sz w:val="24"/>
          <w:szCs w:val="24"/>
        </w:rPr>
        <w:t>eview approach was adopted, drawing on peer</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i/>
          <w:iCs/>
          <w:sz w:val="24"/>
          <w:szCs w:val="24"/>
        </w:rPr>
        <w:t xml:space="preserve">reviewed articles, systematic reviews and technical reports published from 2018 onward. Sources were grouped by material category, and findings were synthesised comparatively to establish patterns in performance, cost, adoption and constraint across earth-based, plant-based and waste-derived materials. </w:t>
      </w:r>
    </w:p>
    <w:p w14:paraId="16A974DB">
      <w:pPr>
        <w:pStyle w:val="style0"/>
        <w:spacing w:after="90" w:lineRule="auto" w:line="360"/>
        <w:jc w:val="both"/>
        <w:rPr>
          <w:i/>
          <w:iCs/>
        </w:rPr>
      </w:pPr>
      <w:r>
        <w:rPr>
          <w:rFonts w:ascii="Times New Roman" w:cs="Times New Roman" w:eastAsia="Times New Roman" w:hAnsi="Times New Roman"/>
          <w:i/>
          <w:iCs/>
          <w:sz w:val="24"/>
          <w:szCs w:val="24"/>
        </w:rPr>
        <w:t>Earth-based products such as compressed and interlocking stabilised soil blocks carry markedly lower embodied energy and construction cost than sandcrete, while bamboo and agricultural</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i/>
          <w:iCs/>
          <w:sz w:val="24"/>
          <w:szCs w:val="24"/>
        </w:rPr>
        <w:t>waste pozzolans (rice husk ash, sawdust ash) offer proven, if under</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i/>
          <w:iCs/>
          <w:sz w:val="24"/>
          <w:szCs w:val="24"/>
        </w:rPr>
        <w:t>exploited, substitutes for imported timber and a share of cement. Adoption nonetheless</w:t>
      </w:r>
      <w:r>
        <w:rPr>
          <w:rFonts w:ascii="Times New Roman" w:cs="Times New Roman" w:eastAsia="Times New Roman" w:hAnsi="Times New Roman"/>
          <w:i/>
          <w:iCs/>
          <w:sz w:val="24"/>
          <w:szCs w:val="24"/>
          <w:lang w:val="en-US"/>
        </w:rPr>
        <w:t>,</w:t>
      </w:r>
      <w:r>
        <w:rPr>
          <w:rFonts w:ascii="Times New Roman" w:cs="Times New Roman" w:eastAsia="Times New Roman" w:hAnsi="Times New Roman"/>
          <w:i/>
          <w:iCs/>
          <w:sz w:val="24"/>
          <w:szCs w:val="24"/>
        </w:rPr>
        <w:t xml:space="preserve"> stays marginal because of weak code recognition, limited artisan training, durability scepticism among professionals and thin government incentive. </w:t>
      </w:r>
    </w:p>
    <w:p w14:paraId="623771EA">
      <w:pPr>
        <w:pStyle w:val="style0"/>
        <w:spacing w:after="200" w:lineRule="auto" w:line="360"/>
        <w:jc w:val="both"/>
        <w:rPr>
          <w:i/>
          <w:iCs/>
        </w:rPr>
      </w:pPr>
      <w:r>
        <w:rPr>
          <w:rFonts w:ascii="Times New Roman" w:cs="Times New Roman" w:eastAsia="Times New Roman" w:hAnsi="Times New Roman"/>
          <w:b/>
          <w:bCs/>
          <w:i/>
          <w:iCs/>
          <w:sz w:val="24"/>
          <w:szCs w:val="24"/>
        </w:rPr>
        <w:t xml:space="preserve">Conclusion: </w:t>
      </w:r>
      <w:r>
        <w:rPr>
          <w:rFonts w:ascii="Times New Roman" w:cs="Times New Roman" w:eastAsia="Times New Roman" w:hAnsi="Times New Roman"/>
          <w:i/>
          <w:iCs/>
          <w:sz w:val="24"/>
          <w:szCs w:val="24"/>
        </w:rPr>
        <w:t>Indigenous materials offer a credible, largely untapped route to more affordable and environmentally sound architecture in Nigeria. Their mainstreaming depends on deliberate standardisation, demonstration projects, artisan and professional training, and supportive building-code reform, rather than on the discovery of new materials.</w:t>
      </w:r>
    </w:p>
    <w:p w14:paraId="7DA2FA8D">
      <w:pPr>
        <w:pStyle w:val="style0"/>
        <w:spacing w:after="300" w:lineRule="auto" w:line="360"/>
        <w:jc w:val="both"/>
        <w:rPr/>
      </w:pPr>
      <w:r>
        <w:rPr>
          <w:rFonts w:ascii="Times New Roman" w:cs="Times New Roman" w:eastAsia="Times New Roman" w:hAnsi="Times New Roman"/>
          <w:b/>
          <w:bCs/>
          <w:i/>
          <w:iCs/>
          <w:sz w:val="24"/>
          <w:szCs w:val="24"/>
        </w:rPr>
        <w:t xml:space="preserve">Keywords: </w:t>
      </w:r>
      <w:r>
        <w:rPr>
          <w:rFonts w:ascii="Times New Roman" w:cs="Times New Roman" w:eastAsia="Times New Roman" w:hAnsi="Times New Roman"/>
          <w:i/>
          <w:iCs/>
          <w:sz w:val="24"/>
          <w:szCs w:val="24"/>
        </w:rPr>
        <w:t>Indigenous materials</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i/>
          <w:iCs/>
          <w:sz w:val="24"/>
          <w:szCs w:val="24"/>
        </w:rPr>
        <w:t>Sustainable architectur</w:t>
      </w:r>
      <w:r>
        <w:rPr>
          <w:rFonts w:ascii="Times New Roman" w:cs="Times New Roman" w:eastAsia="Times New Roman" w:hAnsi="Times New Roman"/>
          <w:i/>
          <w:iCs/>
          <w:sz w:val="24"/>
          <w:szCs w:val="24"/>
          <w:lang w:val="en-US"/>
        </w:rPr>
        <w:t>e,</w:t>
      </w:r>
      <w:r>
        <w:rPr>
          <w:rFonts w:ascii="Times New Roman" w:cs="Times New Roman" w:eastAsia="Times New Roman" w:hAnsi="Times New Roman"/>
          <w:i/>
          <w:iCs/>
          <w:sz w:val="24"/>
          <w:szCs w:val="24"/>
        </w:rPr>
        <w:t xml:space="preserve"> Earth construction</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i/>
          <w:iCs/>
          <w:sz w:val="24"/>
          <w:szCs w:val="24"/>
        </w:rPr>
        <w:t>Bamboo</w:t>
      </w:r>
      <w:r>
        <w:rPr>
          <w:rFonts w:ascii="Times New Roman" w:cs="Times New Roman" w:eastAsia="Times New Roman" w:hAnsi="Times New Roman"/>
          <w:i/>
          <w:iCs/>
          <w:sz w:val="24"/>
          <w:szCs w:val="24"/>
          <w:lang w:val="en-US"/>
        </w:rPr>
        <w:t xml:space="preserve">, </w:t>
      </w:r>
      <w:r>
        <w:rPr>
          <w:rFonts w:ascii="Times New Roman" w:cs="Times New Roman" w:eastAsia="Times New Roman" w:hAnsi="Times New Roman"/>
          <w:i/>
          <w:iCs/>
          <w:sz w:val="24"/>
          <w:szCs w:val="24"/>
        </w:rPr>
        <w:t>Compressed earth blocks</w:t>
      </w:r>
      <w:r>
        <w:rPr>
          <w:rFonts w:ascii="Times New Roman" w:cs="Times New Roman" w:eastAsia="Times New Roman" w:hAnsi="Times New Roman"/>
          <w:i/>
          <w:iCs/>
          <w:sz w:val="24"/>
          <w:szCs w:val="24"/>
          <w:lang w:val="en-US"/>
        </w:rPr>
        <w:t xml:space="preserve"> and</w:t>
      </w:r>
      <w:r>
        <w:rPr>
          <w:rFonts w:ascii="Times New Roman" w:cs="Times New Roman" w:eastAsia="Times New Roman" w:hAnsi="Times New Roman"/>
          <w:i/>
          <w:iCs/>
          <w:sz w:val="24"/>
          <w:szCs w:val="24"/>
        </w:rPr>
        <w:t xml:space="preserve"> Nigeria.</w:t>
      </w:r>
    </w:p>
    <w:p w14:paraId="5BA39F77">
      <w:pPr>
        <w:pStyle w:val="style0"/>
        <w:keepNext/>
        <w:spacing w:before="200" w:after="100" w:lineRule="auto" w:line="480"/>
        <w:rPr/>
      </w:pPr>
      <w:r>
        <w:rPr>
          <w:rFonts w:ascii="Times New Roman" w:cs="Times New Roman" w:eastAsia="Times New Roman" w:hAnsi="Times New Roman"/>
          <w:b/>
          <w:bCs/>
          <w:color w:val="000000"/>
          <w:sz w:val="24"/>
          <w:szCs w:val="24"/>
        </w:rPr>
        <w:t>INTRODUCTION</w:t>
      </w:r>
    </w:p>
    <w:p w14:paraId="5CDCC39D">
      <w:pPr>
        <w:pStyle w:val="style0"/>
        <w:spacing w:after="90" w:lineRule="auto" w:line="480"/>
        <w:jc w:val="both"/>
        <w:rPr/>
      </w:pPr>
      <w:r>
        <w:rPr>
          <w:rFonts w:ascii="Times New Roman" w:cs="Times New Roman" w:eastAsia="Times New Roman" w:hAnsi="Times New Roman"/>
          <w:sz w:val="24"/>
          <w:szCs w:val="24"/>
        </w:rPr>
        <w:t>Buildings shape how a society experiences comfort, identity and cost of living, and the materials chosen to construct them carry consequences that outlast the projects themselves. Across much of Nigeria, the dominant image of a modern building is one clad in sandcrete, roofed with imported aluminium sheet and framed in steel or reinforced concrete. This preference has become so entrenched that it is rarely questioned, even though cement and steel are largely import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dependent, energy</w:t>
      </w:r>
      <w:r>
        <w:rPr>
          <w:rFonts w:ascii="Times New Roman" w:cs="Times New Roman" w:eastAsia="Times New Roman" w:hAnsi="Times New Roman"/>
          <w:sz w:val="24"/>
          <w:szCs w:val="24"/>
          <w:lang w:val="en-US"/>
        </w:rPr>
        <w:t xml:space="preserve"> i</w:t>
      </w:r>
      <w:r>
        <w:rPr>
          <w:rFonts w:ascii="Times New Roman" w:cs="Times New Roman" w:eastAsia="Times New Roman" w:hAnsi="Times New Roman"/>
          <w:sz w:val="24"/>
          <w:szCs w:val="24"/>
        </w:rPr>
        <w:t>ntensive to produce, and increasingly expensive for a construction sector already burdened by a large housing deficit.</w:t>
      </w:r>
    </w:p>
    <w:p w14:paraId="1D7F298F">
      <w:pPr>
        <w:pStyle w:val="style0"/>
        <w:spacing w:after="90" w:lineRule="auto" w:line="480"/>
        <w:jc w:val="both"/>
        <w:rPr/>
      </w:pPr>
      <w:r>
        <w:rPr>
          <w:rFonts w:ascii="Times New Roman" w:cs="Times New Roman" w:eastAsia="Times New Roman" w:hAnsi="Times New Roman"/>
          <w:sz w:val="24"/>
          <w:szCs w:val="24"/>
        </w:rPr>
        <w:t>Long before these imported systems became standard, Nigerian builders worked with what their environment supplied: laterite and clay for walls, bamboo and palm timber for framing and roofing, thatch for covering, and lime or ash for binding. These materials were neither primitive nor accidental</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they were tuned through generations of adjustment, to a tropical climate and to locally available resources. Recent scholarship ha</w:t>
      </w:r>
      <w:r>
        <w:rPr>
          <w:rFonts w:ascii="Times New Roman" w:cs="Times New Roman" w:eastAsia="Times New Roman" w:hAnsi="Times New Roman"/>
          <w:sz w:val="24"/>
          <w:szCs w:val="24"/>
          <w:lang w:val="en-US"/>
        </w:rPr>
        <w:t>ve</w:t>
      </w:r>
      <w:r>
        <w:rPr>
          <w:rFonts w:ascii="Times New Roman" w:cs="Times New Roman" w:eastAsia="Times New Roman" w:hAnsi="Times New Roman"/>
          <w:sz w:val="24"/>
          <w:szCs w:val="24"/>
        </w:rPr>
        <w:t xml:space="preserve"> begun to revisit this heritage, not out of nostalgia, but because indigenous materials increasingly appear as a rational response to cost, sustainability and climate pressures the construction sector can no longer ignore (Adetoro &amp; Gambo, 2025).</w:t>
      </w:r>
    </w:p>
    <w:p w14:paraId="C31739A4">
      <w:pPr>
        <w:pStyle w:val="style0"/>
        <w:spacing w:after="60" w:lineRule="auto" w:line="480"/>
        <w:jc w:val="both"/>
        <w:rPr/>
      </w:pPr>
      <w:r>
        <w:rPr>
          <w:rFonts w:ascii="Times New Roman" w:cs="Times New Roman" w:eastAsia="Times New Roman" w:hAnsi="Times New Roman"/>
          <w:sz w:val="24"/>
          <w:szCs w:val="24"/>
        </w:rPr>
        <w:t>This paper examines indigenous materials as a practical resource for modern Nigerian architecture, rather than as a heritage subject alone. It asks what these materials can realistically contribute to contemporary building practice, what stands in the way of wider use, and how architects, engineers and policymakers might close that gap.</w:t>
      </w:r>
    </w:p>
    <w:p w14:paraId="A05B5992">
      <w:pPr>
        <w:pStyle w:val="style0"/>
        <w:keepNext/>
        <w:spacing w:before="200" w:after="100" w:lineRule="auto" w:line="480"/>
        <w:rPr/>
      </w:pPr>
      <w:r>
        <w:rPr>
          <w:rFonts w:ascii="Times New Roman" w:cs="Times New Roman" w:eastAsia="Times New Roman" w:hAnsi="Times New Roman"/>
          <w:b/>
          <w:bCs/>
          <w:color w:val="000000"/>
          <w:sz w:val="24"/>
          <w:szCs w:val="24"/>
        </w:rPr>
        <w:t>RESEARCH PROBLEM AND RESEARCH GAP</w:t>
      </w:r>
    </w:p>
    <w:p w14:paraId="B83DDE0A">
      <w:pPr>
        <w:pStyle w:val="style0"/>
        <w:spacing w:after="90" w:lineRule="auto" w:line="480"/>
        <w:jc w:val="both"/>
        <w:rPr/>
      </w:pPr>
      <w:r>
        <w:rPr>
          <w:rFonts w:ascii="Times New Roman" w:cs="Times New Roman" w:eastAsia="Times New Roman" w:hAnsi="Times New Roman"/>
          <w:sz w:val="24"/>
          <w:szCs w:val="24"/>
        </w:rPr>
        <w:t>A considerable body of Nigerian research</w:t>
      </w:r>
      <w:r>
        <w:rPr>
          <w:rFonts w:ascii="Times New Roman" w:cs="Times New Roman" w:eastAsia="Times New Roman" w:hAnsi="Times New Roman"/>
          <w:sz w:val="24"/>
          <w:szCs w:val="24"/>
          <w:lang w:val="en-US"/>
        </w:rPr>
        <w:t>ers</w:t>
      </w:r>
      <w:r>
        <w:rPr>
          <w:rFonts w:ascii="Times New Roman" w:cs="Times New Roman" w:eastAsia="Times New Roman" w:hAnsi="Times New Roman"/>
          <w:sz w:val="24"/>
          <w:szCs w:val="24"/>
        </w:rPr>
        <w:t xml:space="preserve"> ha</w:t>
      </w:r>
      <w:r>
        <w:rPr>
          <w:rFonts w:ascii="Times New Roman" w:cs="Times New Roman" w:eastAsia="Times New Roman" w:hAnsi="Times New Roman"/>
          <w:sz w:val="24"/>
          <w:szCs w:val="24"/>
          <w:lang w:val="en-US"/>
        </w:rPr>
        <w:t xml:space="preserve">ve </w:t>
      </w:r>
      <w:r>
        <w:rPr>
          <w:rFonts w:ascii="Times New Roman" w:cs="Times New Roman" w:eastAsia="Times New Roman" w:hAnsi="Times New Roman"/>
          <w:sz w:val="24"/>
          <w:szCs w:val="24"/>
        </w:rPr>
        <w:t>examined individual indigenous materials in isolation: bamboo in one study, compressed earth blocks in another, agricultural</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waste ash in a third. Each strand confirms technical viability, yet three gaps persist when the literature is read as a whole. First, comparative synthesis across material categories is scarce, so an architect weighing options for a project has no single reference point showing how earth-based, plant-based and waste-derived materials compare on cost, thermal behaviour and embodied energy. Second</w:t>
      </w:r>
      <w:r>
        <w:rPr>
          <w:rFonts w:ascii="Times New Roman" w:cs="Times New Roman" w:eastAsia="Times New Roman" w:hAnsi="Times New Roman"/>
          <w:sz w:val="24"/>
          <w:szCs w:val="24"/>
          <w:lang w:val="en-US"/>
        </w:rPr>
        <w:t>ly</w:t>
      </w:r>
      <w:r>
        <w:rPr>
          <w:rFonts w:ascii="Times New Roman" w:cs="Times New Roman" w:eastAsia="Times New Roman" w:hAnsi="Times New Roman"/>
          <w:sz w:val="24"/>
          <w:szCs w:val="24"/>
        </w:rPr>
        <w:t>, most studies stop</w:t>
      </w:r>
      <w:r>
        <w:rPr>
          <w:rFonts w:ascii="Times New Roman" w:cs="Times New Roman" w:eastAsia="Times New Roman" w:hAnsi="Times New Roman"/>
          <w:sz w:val="24"/>
          <w:szCs w:val="24"/>
          <w:lang w:val="en-US"/>
        </w:rPr>
        <w:t xml:space="preserve">ped </w:t>
      </w:r>
      <w:r>
        <w:rPr>
          <w:rFonts w:ascii="Times New Roman" w:cs="Times New Roman" w:eastAsia="Times New Roman" w:hAnsi="Times New Roman"/>
          <w:sz w:val="24"/>
          <w:szCs w:val="24"/>
        </w:rPr>
        <w:t>at technical feasibility and do not extend into the professional and regulatory obstacles that keep viable materials out of formal construction, despite evidence that scepticism among architects and weak code recognition limit adoption as much as any material property (Adetoro &amp; Gambo, 2025). Third</w:t>
      </w:r>
      <w:r>
        <w:rPr>
          <w:rFonts w:ascii="Times New Roman" w:cs="Times New Roman" w:eastAsia="Times New Roman" w:hAnsi="Times New Roman"/>
          <w:sz w:val="24"/>
          <w:szCs w:val="24"/>
          <w:lang w:val="en-US"/>
        </w:rPr>
        <w:t>ly</w:t>
      </w:r>
      <w:r>
        <w:rPr>
          <w:rFonts w:ascii="Times New Roman" w:cs="Times New Roman" w:eastAsia="Times New Roman" w:hAnsi="Times New Roman"/>
          <w:sz w:val="24"/>
          <w:szCs w:val="24"/>
        </w:rPr>
        <w:t>, existing accounts of decline describe the erosion of indigenous building traditions in general terms (Ezekiel, 2021; Okafor, 2020; Nwoke, 2019) without translating that concern into a structured pathway a practising architect could follow.</w:t>
      </w:r>
    </w:p>
    <w:p w14:paraId="4E47BA4B">
      <w:pPr>
        <w:pStyle w:val="style0"/>
        <w:spacing w:after="60" w:lineRule="auto" w:line="480"/>
        <w:jc w:val="both"/>
        <w:rPr/>
      </w:pPr>
      <w:r>
        <w:rPr>
          <w:rFonts w:ascii="Times New Roman" w:cs="Times New Roman" w:eastAsia="Times New Roman" w:hAnsi="Times New Roman"/>
          <w:sz w:val="24"/>
          <w:szCs w:val="24"/>
        </w:rPr>
        <w:t>This paper responds to these gaps specific evidence into one comparative framework and by proposing a staged pathway through which indigenous materials might move from marginal to mainstream use in Nigerian architecture.</w:t>
      </w:r>
    </w:p>
    <w:p w14:paraId="49DB1B1A">
      <w:pPr>
        <w:pStyle w:val="style0"/>
        <w:keepNext/>
        <w:spacing w:before="200" w:after="100" w:lineRule="auto" w:line="480"/>
        <w:rPr/>
      </w:pPr>
      <w:r>
        <w:rPr>
          <w:rFonts w:ascii="Times New Roman" w:cs="Times New Roman" w:eastAsia="Times New Roman" w:hAnsi="Times New Roman"/>
          <w:b/>
          <w:bCs/>
          <w:color w:val="000000"/>
          <w:sz w:val="24"/>
          <w:szCs w:val="24"/>
        </w:rPr>
        <w:t>OBJECTIVES</w:t>
      </w:r>
    </w:p>
    <w:p w14:paraId="20D6B68E">
      <w:pPr>
        <w:pStyle w:val="style0"/>
        <w:spacing w:after="6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This paper is to examine indigenous materials as a resource for modern architecture in Nigeria</w:t>
      </w:r>
      <w:r>
        <w:rPr>
          <w:rFonts w:ascii="Times New Roman" w:cs="Times New Roman" w:eastAsia="Times New Roman" w:hAnsi="Times New Roman"/>
          <w:sz w:val="24"/>
          <w:szCs w:val="24"/>
          <w:lang w:val="en-US"/>
        </w:rPr>
        <w:t xml:space="preserve"> using the following </w:t>
      </w:r>
      <w:r>
        <w:rPr>
          <w:rFonts w:ascii="Times New Roman" w:cs="Times New Roman" w:eastAsia="Times New Roman" w:hAnsi="Times New Roman"/>
          <w:sz w:val="24"/>
          <w:szCs w:val="24"/>
        </w:rPr>
        <w:t xml:space="preserve">specific objectives: </w:t>
      </w:r>
    </w:p>
    <w:p w14:paraId="0B33F74A">
      <w:pPr>
        <w:pStyle w:val="style179"/>
        <w:numPr>
          <w:ilvl w:val="0"/>
          <w:numId w:val="1"/>
        </w:numPr>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 xml:space="preserve">To </w:t>
      </w:r>
      <w:r>
        <w:rPr>
          <w:rFonts w:ascii="Times New Roman" w:cs="Times New Roman" w:eastAsia="Times New Roman" w:hAnsi="Times New Roman"/>
          <w:sz w:val="24"/>
          <w:szCs w:val="24"/>
        </w:rPr>
        <w:t>classify the major indigenous materials available for contemporary construction</w:t>
      </w:r>
      <w:r>
        <w:rPr>
          <w:rFonts w:ascii="Times New Roman" w:cs="Times New Roman" w:eastAsia="Times New Roman" w:hAnsi="Times New Roman"/>
          <w:sz w:val="24"/>
          <w:szCs w:val="24"/>
          <w:lang w:val="en-US"/>
        </w:rPr>
        <w:t xml:space="preserve">.      </w:t>
      </w:r>
    </w:p>
    <w:p w14:paraId="2C360608">
      <w:pPr>
        <w:pStyle w:val="style179"/>
        <w:numPr>
          <w:ilvl w:val="0"/>
          <w:numId w:val="1"/>
        </w:numPr>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To</w:t>
      </w:r>
      <w:r>
        <w:rPr>
          <w:rFonts w:ascii="Times New Roman" w:cs="Times New Roman" w:eastAsia="Times New Roman" w:hAnsi="Times New Roman"/>
          <w:sz w:val="24"/>
          <w:szCs w:val="24"/>
        </w:rPr>
        <w:t xml:space="preserve"> compare their properties and performance against conventional alternatives</w:t>
      </w:r>
      <w:r>
        <w:rPr>
          <w:rFonts w:ascii="Times New Roman" w:cs="Times New Roman" w:eastAsia="Times New Roman" w:hAnsi="Times New Roman"/>
          <w:sz w:val="24"/>
          <w:szCs w:val="24"/>
          <w:lang w:val="en-US"/>
        </w:rPr>
        <w:t>.</w:t>
      </w:r>
    </w:p>
    <w:p w14:paraId="545B1630">
      <w:pPr>
        <w:pStyle w:val="style179"/>
        <w:numPr>
          <w:ilvl w:val="0"/>
          <w:numId w:val="1"/>
        </w:numPr>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To</w:t>
      </w:r>
      <w:r>
        <w:rPr>
          <w:rFonts w:ascii="Times New Roman" w:cs="Times New Roman" w:eastAsia="Times New Roman" w:hAnsi="Times New Roman"/>
          <w:sz w:val="24"/>
          <w:szCs w:val="24"/>
        </w:rPr>
        <w:t xml:space="preserve"> identify current and emerging applications of these materials in modern building practice</w:t>
      </w:r>
      <w:r>
        <w:rPr>
          <w:rFonts w:ascii="Times New Roman" w:cs="Times New Roman" w:eastAsia="Times New Roman" w:hAnsi="Times New Roman"/>
          <w:sz w:val="24"/>
          <w:szCs w:val="24"/>
          <w:lang w:val="en-US"/>
        </w:rPr>
        <w:t>.</w:t>
      </w:r>
    </w:p>
    <w:p w14:paraId="65CEAEFD">
      <w:pPr>
        <w:pStyle w:val="style179"/>
        <w:numPr>
          <w:ilvl w:val="0"/>
          <w:numId w:val="1"/>
        </w:numPr>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To</w:t>
      </w:r>
      <w:r>
        <w:rPr>
          <w:rFonts w:ascii="Times New Roman" w:cs="Times New Roman" w:eastAsia="Times New Roman" w:hAnsi="Times New Roman"/>
          <w:sz w:val="24"/>
          <w:szCs w:val="24"/>
        </w:rPr>
        <w:t xml:space="preserve"> establish the principal barriers limiting their adoption</w:t>
      </w:r>
      <w:r>
        <w:rPr>
          <w:rFonts w:ascii="Times New Roman" w:cs="Times New Roman" w:eastAsia="Times New Roman" w:hAnsi="Times New Roman"/>
          <w:sz w:val="24"/>
          <w:szCs w:val="24"/>
          <w:lang w:val="en-US"/>
        </w:rPr>
        <w:t>.</w:t>
      </w:r>
    </w:p>
    <w:p w14:paraId="ADCB9062">
      <w:pPr>
        <w:pStyle w:val="style179"/>
        <w:numPr>
          <w:ilvl w:val="0"/>
          <w:numId w:val="1"/>
        </w:numPr>
        <w:spacing w:after="60" w:lineRule="auto" w:line="480"/>
        <w:jc w:val="both"/>
        <w:rPr/>
      </w:pPr>
      <w:r>
        <w:rPr>
          <w:rFonts w:ascii="Times New Roman" w:cs="Times New Roman" w:eastAsia="Times New Roman" w:hAnsi="Times New Roman"/>
          <w:sz w:val="24"/>
          <w:szCs w:val="24"/>
          <w:lang w:val="en-US"/>
        </w:rPr>
        <w:t>And to</w:t>
      </w:r>
      <w:r>
        <w:rPr>
          <w:rFonts w:ascii="Times New Roman" w:cs="Times New Roman" w:eastAsia="Times New Roman" w:hAnsi="Times New Roman"/>
          <w:sz w:val="24"/>
          <w:szCs w:val="24"/>
        </w:rPr>
        <w:t xml:space="preserve"> propose a practical pathway for integrating indigenous materials into mainstream architectural practice.</w:t>
      </w:r>
    </w:p>
    <w:p w14:paraId="195D2830">
      <w:pPr>
        <w:pStyle w:val="style0"/>
        <w:keepNext/>
        <w:spacing w:before="200" w:after="100" w:lineRule="auto" w:line="480"/>
        <w:rPr/>
      </w:pPr>
      <w:r>
        <w:rPr>
          <w:rFonts w:ascii="Times New Roman" w:cs="Times New Roman" w:eastAsia="Times New Roman" w:hAnsi="Times New Roman"/>
          <w:b/>
          <w:bCs/>
          <w:color w:val="000000"/>
          <w:sz w:val="24"/>
          <w:szCs w:val="24"/>
        </w:rPr>
        <w:t>LITERATURE REVIEW</w:t>
      </w:r>
    </w:p>
    <w:p w14:paraId="BBA7F65E">
      <w:pPr>
        <w:pStyle w:val="style0"/>
        <w:spacing w:after="90" w:lineRule="auto" w:line="480"/>
        <w:jc w:val="both"/>
        <w:rPr/>
      </w:pPr>
      <w:r>
        <w:rPr>
          <w:rFonts w:ascii="Times New Roman" w:cs="Times New Roman" w:eastAsia="Times New Roman" w:hAnsi="Times New Roman"/>
          <w:sz w:val="24"/>
          <w:szCs w:val="24"/>
        </w:rPr>
        <w:t>Earth remains the most studied of Nigeria's indigenous materials. Compressed and interlocking stabilised soil blocks, produced by compacting laterite with a small proportion of cement or lime, cost substantially less than sandcrete blocks while requiring little or no firing, which keeps embodied energy low (Olaleye &amp; Ibitoye, 2023; Ibitoye et al., 2023). A systematic review confirms that waste-derived additives, such as fibres and industrial by-products, can improve the strength and durability of such blocks while addressing waste-disposal concerns at the same time (Sinha et al., 2026). Field</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based work outside Nigeria support</w:t>
      </w:r>
      <w:r>
        <w:rPr>
          <w:rFonts w:ascii="Times New Roman" w:cs="Times New Roman" w:eastAsia="Times New Roman" w:hAnsi="Times New Roman"/>
          <w:sz w:val="24"/>
          <w:szCs w:val="24"/>
          <w:lang w:val="en-US"/>
        </w:rPr>
        <w:t>ed</w:t>
      </w:r>
      <w:r>
        <w:rPr>
          <w:rFonts w:ascii="Times New Roman" w:cs="Times New Roman" w:eastAsia="Times New Roman" w:hAnsi="Times New Roman"/>
          <w:sz w:val="24"/>
          <w:szCs w:val="24"/>
        </w:rPr>
        <w:t xml:space="preserve"> the same conclusion</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en-US"/>
        </w:rPr>
        <w:t>C</w:t>
      </w:r>
      <w:r>
        <w:rPr>
          <w:rFonts w:ascii="Times New Roman" w:cs="Times New Roman" w:eastAsia="Times New Roman" w:hAnsi="Times New Roman"/>
          <w:sz w:val="24"/>
          <w:szCs w:val="24"/>
        </w:rPr>
        <w:t>ompressed earth block housing can cut operational energy use by 40 to 50 percent relative to conventional alternatives once designed for a hot climate (Hanafi, 2021).</w:t>
      </w:r>
    </w:p>
    <w:p w14:paraId="9A53ED50">
      <w:pPr>
        <w:pStyle w:val="style0"/>
        <w:spacing w:after="90" w:lineRule="auto" w:line="480"/>
        <w:jc w:val="both"/>
        <w:rPr/>
      </w:pPr>
      <w:r>
        <w:rPr>
          <w:rFonts w:ascii="Times New Roman" w:cs="Times New Roman" w:eastAsia="Times New Roman" w:hAnsi="Times New Roman"/>
          <w:sz w:val="24"/>
          <w:szCs w:val="24"/>
        </w:rPr>
        <w:t>Beyond earth, bamboo has attracted growing attention as a fast</w:t>
      </w:r>
      <w:r>
        <w:rPr>
          <w:rFonts w:ascii="Times New Roman" w:cs="Times New Roman" w:eastAsia="Times New Roman" w:hAnsi="Times New Roman"/>
          <w:sz w:val="24"/>
          <w:szCs w:val="24"/>
          <w:lang w:val="en-US"/>
        </w:rPr>
        <w:t xml:space="preserve"> g</w:t>
      </w:r>
      <w:r>
        <w:rPr>
          <w:rFonts w:ascii="Times New Roman" w:cs="Times New Roman" w:eastAsia="Times New Roman" w:hAnsi="Times New Roman"/>
          <w:sz w:val="24"/>
          <w:szCs w:val="24"/>
        </w:rPr>
        <w:t>rowing, low</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cost substitute for imported timber and steel reinforcement. Reviews of its structural and environmental properties in south</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eastern Nigeria confirm its suitability for scaffolding, roofing members, ceilings and, with appropriate treatment, reinforced walling (Aniegbuna &amp; Okolie, 2021), while ecological assessments point to its rapid growth cycle and carbon</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sequestration potential as reasons for wider cultivation (Isukuru et al., 2023). Agricultural residues form a third, less visible category</w:t>
      </w:r>
      <w:r>
        <w:rPr>
          <w:rFonts w:ascii="Times New Roman" w:cs="Times New Roman" w:eastAsia="Times New Roman" w:hAnsi="Times New Roman"/>
          <w:sz w:val="24"/>
          <w:szCs w:val="24"/>
          <w:lang w:val="en-US"/>
        </w:rPr>
        <w:t xml:space="preserve"> such as: </w:t>
      </w:r>
      <w:r>
        <w:rPr>
          <w:rFonts w:ascii="Times New Roman" w:cs="Times New Roman" w:eastAsia="Times New Roman" w:hAnsi="Times New Roman"/>
          <w:sz w:val="24"/>
          <w:szCs w:val="24"/>
        </w:rPr>
        <w:t>rice husk, sawdust, groundnut husk and palm-kernel shell can each be converted to ash rich in reactive silica, allowing partial cement replacement in mortar and block production (Fapohunda et al., 2021), and recent characterisation of rice husk ash from Nigerian mills confirms silica content well within the range required of a usable pozzolan (Raheem &amp; Bello, 2025).</w:t>
      </w:r>
    </w:p>
    <w:p w14:paraId="33257B47">
      <w:pPr>
        <w:pStyle w:val="style0"/>
        <w:spacing w:after="60" w:lineRule="auto" w:line="480"/>
        <w:jc w:val="both"/>
        <w:rPr/>
      </w:pPr>
      <w:r>
        <w:rPr>
          <w:rFonts w:ascii="Times New Roman" w:cs="Times New Roman" w:eastAsia="Times New Roman" w:hAnsi="Times New Roman"/>
          <w:sz w:val="24"/>
          <w:szCs w:val="24"/>
        </w:rPr>
        <w:t>Cultural and craft dimensions matter alongside technical performance. Documentation of traditional Igbo building finishes shows a repertoire of local plasters, pigments and decorative techniques fading from practice as imported finishing materials take over (Onuorah et al., 2022), a pattern echoed in broader accounts of indigenous architecture's decline in south</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eastern Nigeria (Okechukwu &amp; Ibe, 2018; Ezekiel, 2021; Okafor, 2020; Nwoke, 2019). Overall, the technical case for indigenous materials is reasonably well established; what remains underdeveloped is the professional and regulatory pathway needed to carry that evidence into everyday practice.</w:t>
      </w:r>
    </w:p>
    <w:p w14:paraId="3FE60D08">
      <w:pPr>
        <w:pStyle w:val="style0"/>
        <w:keepNext/>
        <w:spacing w:before="200" w:after="100" w:lineRule="auto" w:line="480"/>
        <w:rPr/>
      </w:pPr>
      <w:r>
        <w:rPr>
          <w:rFonts w:ascii="Times New Roman" w:cs="Times New Roman" w:eastAsia="Times New Roman" w:hAnsi="Times New Roman"/>
          <w:b/>
          <w:bCs/>
          <w:color w:val="000000"/>
          <w:sz w:val="24"/>
          <w:szCs w:val="24"/>
        </w:rPr>
        <w:t>METHODOLOGY</w:t>
      </w:r>
    </w:p>
    <w:p w14:paraId="102BEA8F">
      <w:pPr>
        <w:pStyle w:val="style0"/>
        <w:spacing w:after="90" w:lineRule="auto" w:line="480"/>
        <w:jc w:val="both"/>
        <w:rPr/>
      </w:pPr>
      <w:r>
        <w:rPr>
          <w:rFonts w:ascii="Times New Roman" w:cs="Times New Roman" w:eastAsia="Times New Roman" w:hAnsi="Times New Roman"/>
          <w:sz w:val="24"/>
          <w:szCs w:val="24"/>
        </w:rPr>
        <w:t>This study used a qualitative desk</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review design rather than laboratory testing or field survey, since its purpose is to synthesise dispersed evidence into a single comparative account. Sources were drawn from peer</w:t>
      </w:r>
      <w:r>
        <w:rPr>
          <w:rFonts w:ascii="Times New Roman" w:cs="Times New Roman" w:eastAsia="Times New Roman" w:hAnsi="Times New Roman"/>
          <w:sz w:val="24"/>
          <w:szCs w:val="24"/>
          <w:lang w:val="en-US"/>
        </w:rPr>
        <w:t xml:space="preserve"> r</w:t>
      </w:r>
      <w:r>
        <w:rPr>
          <w:rFonts w:ascii="Times New Roman" w:cs="Times New Roman" w:eastAsia="Times New Roman" w:hAnsi="Times New Roman"/>
          <w:sz w:val="24"/>
          <w:szCs w:val="24"/>
        </w:rPr>
        <w:t>eviewed journal articles, systematic reviews and conference papers published from 2018 to the present, supplemented by earlier technical works only where they supplied foundational data still relied upon in current research. Materials were selected for relevance to three recurring categories: earth-based materials, plant-based materials, and waste-derived pozzolans.</w:t>
      </w:r>
    </w:p>
    <w:p w14:paraId="76602BAE">
      <w:pPr>
        <w:pStyle w:val="style0"/>
        <w:spacing w:after="60" w:lineRule="auto" w:line="480"/>
        <w:jc w:val="both"/>
        <w:rPr/>
      </w:pPr>
      <w:r>
        <w:rPr>
          <w:rFonts w:ascii="Times New Roman" w:cs="Times New Roman" w:eastAsia="Times New Roman" w:hAnsi="Times New Roman"/>
          <w:sz w:val="24"/>
          <w:szCs w:val="24"/>
        </w:rPr>
        <w:t>Each source was read for material properties, cost implications, documented applications and reported barriers, and the extracted information was organised thematically across these categories. Numerical values in the tables and figures that follow represent indicative ranges drawn from the reviewed literature rather than measurements taken by the authors on a specific building</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this suits a synthesis paper meant to orient practitioners and inform further site specific research </w:t>
      </w:r>
      <w:r>
        <w:rPr>
          <w:rFonts w:ascii="Times New Roman" w:cs="Times New Roman" w:eastAsia="Times New Roman" w:hAnsi="Times New Roman"/>
          <w:sz w:val="24"/>
          <w:szCs w:val="24"/>
          <w:lang w:val="en-US"/>
        </w:rPr>
        <w:t>work</w:t>
      </w:r>
      <w:r>
        <w:rPr>
          <w:rFonts w:ascii="Times New Roman" w:cs="Times New Roman" w:eastAsia="Times New Roman" w:hAnsi="Times New Roman"/>
          <w:sz w:val="24"/>
          <w:szCs w:val="24"/>
        </w:rPr>
        <w:t>.</w:t>
      </w:r>
    </w:p>
    <w:p w14:paraId="909F5027">
      <w:pPr>
        <w:pStyle w:val="style0"/>
        <w:keepNext/>
        <w:spacing w:before="200" w:after="100" w:lineRule="auto" w:line="480"/>
        <w:rPr/>
      </w:pPr>
      <w:r>
        <w:rPr>
          <w:rFonts w:ascii="Times New Roman" w:cs="Times New Roman" w:eastAsia="Times New Roman" w:hAnsi="Times New Roman"/>
          <w:b/>
          <w:bCs/>
          <w:color w:val="000000"/>
          <w:sz w:val="24"/>
          <w:szCs w:val="24"/>
        </w:rPr>
        <w:t>RESULTS AND DISCUSSION</w:t>
      </w:r>
    </w:p>
    <w:p w14:paraId="5C4EF59A">
      <w:pPr>
        <w:pStyle w:val="style0"/>
        <w:spacing w:before="180" w:after="100" w:lineRule="auto" w:line="480"/>
        <w:rPr/>
      </w:pPr>
      <w:r>
        <w:rPr>
          <w:rFonts w:ascii="Times New Roman" w:cs="Times New Roman" w:eastAsia="Times New Roman" w:hAnsi="Times New Roman"/>
          <w:b/>
          <w:bCs/>
          <w:i/>
          <w:iCs/>
          <w:sz w:val="24"/>
          <w:szCs w:val="24"/>
        </w:rPr>
        <w:t>Classification of Indigenous Building Materials in Nigeria</w:t>
      </w:r>
    </w:p>
    <w:p w14:paraId="105EDBE4">
      <w:pPr>
        <w:pStyle w:val="style0"/>
        <w:spacing w:after="90" w:lineRule="auto" w:line="480"/>
        <w:jc w:val="both"/>
        <w:rPr/>
      </w:pPr>
      <w:r>
        <w:rPr>
          <w:rFonts w:ascii="Times New Roman" w:cs="Times New Roman" w:eastAsia="Times New Roman" w:hAnsi="Times New Roman"/>
          <w:sz w:val="24"/>
          <w:szCs w:val="24"/>
        </w:rPr>
        <w:t>Nigeria's indigenous materials fall into three broad categories. Earth-based materials include laterite and mud used directly (cob and rammed earth) and earth compacted into blocks with a stabiliser, such as compressed stabilised earth blocks and interlocking stabilised soil blocks. Plant-based materials include bamboo, palm fronds and raffia, and various timber species used for framing, roofing and thatch. Waste-derived pozzolans are ash products obtained by burning agricultural residues, including rice husk, sawdust, groundnut husk and palm-kernel shell, which supply reactive silica for partial cement replacement. Figure 1 sets out this classification.</w:t>
      </w:r>
    </w:p>
    <w:p w14:paraId="CEBD40B5">
      <w:pPr>
        <w:pStyle w:val="style0"/>
        <w:spacing w:before="120" w:after="60"/>
        <w:jc w:val="center"/>
        <w:rPr/>
      </w:pPr>
      <w:r>
        <w:rPr/>
        <w:drawing>
          <wp:inline distL="0" distT="0" distB="0" distR="0">
            <wp:extent cx="3429000" cy="1762125"/>
            <wp:effectExtent l="0" t="0" r="0" b="0"/>
            <wp:docPr id="1026"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srcRect l="0" t="0" r="0" b="0"/>
                    <a:stretch/>
                  </pic:blipFill>
                  <pic:spPr>
                    <a:xfrm rot="0">
                      <a:off x="0" y="0"/>
                      <a:ext cx="3429000" cy="1762125"/>
                    </a:xfrm>
                    <a:prstGeom prst="rect"/>
                  </pic:spPr>
                </pic:pic>
              </a:graphicData>
            </a:graphic>
          </wp:inline>
        </w:drawing>
      </w:r>
    </w:p>
    <w:p w14:paraId="192673D8">
      <w:pPr>
        <w:pStyle w:val="style0"/>
        <w:spacing w:after="200" w:lineRule="auto" w:line="240"/>
        <w:jc w:val="center"/>
        <w:rPr/>
      </w:pPr>
      <w:r>
        <w:rPr>
          <w:rFonts w:ascii="Times New Roman" w:cs="Times New Roman" w:eastAsia="Times New Roman" w:hAnsi="Times New Roman"/>
          <w:i/>
          <w:iCs/>
          <w:sz w:val="20"/>
          <w:szCs w:val="20"/>
        </w:rPr>
        <w:t>Figure 1: Classification of major indigenous building materials in Nigeria. Source: Authors' synthesis from reviewed literature.</w:t>
      </w:r>
    </w:p>
    <w:p w14:paraId="79721B2B">
      <w:pPr>
        <w:pStyle w:val="style0"/>
        <w:spacing w:after="80" w:lineRule="auto" w:line="240"/>
        <w:jc w:val="both"/>
        <w:rPr/>
      </w:pPr>
      <w:r>
        <w:rPr>
          <w:rFonts w:ascii="Times New Roman" w:cs="Times New Roman" w:eastAsia="Times New Roman" w:hAnsi="Times New Roman"/>
          <w:b/>
          <w:bCs/>
          <w:sz w:val="24"/>
          <w:szCs w:val="24"/>
        </w:rPr>
        <w:t>Table 1: Major indigenous material categories, examples and typical applications.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400"/>
        <w:gridCol w:w="2800"/>
        <w:gridCol w:w="4000"/>
      </w:tblGrid>
      <w:tr w14:paraId="E7F43A77">
        <w:trPr>
          <w:tblHeader/>
        </w:trPr>
        <w:tc>
          <w:tcPr>
            <w:tcW w:w="2400" w:type="dxa"/>
            <w:tcBorders/>
            <w:shd w:val="clear" w:color="auto" w:fill="d9e2d9"/>
            <w:tcMar>
              <w:top w:w="40" w:type="dxa"/>
              <w:left w:w="60" w:type="dxa"/>
              <w:bottom w:w="40" w:type="dxa"/>
              <w:right w:w="60" w:type="dxa"/>
            </w:tcMar>
            <w:vAlign w:val="center"/>
          </w:tcPr>
          <w:p w14:paraId="4522A639">
            <w:pPr>
              <w:pStyle w:val="style0"/>
              <w:spacing w:after="40" w:lineRule="auto" w:line="240"/>
              <w:jc w:val="center"/>
              <w:rPr/>
            </w:pPr>
            <w:r>
              <w:rPr>
                <w:rFonts w:ascii="Times New Roman" w:cs="Times New Roman" w:eastAsia="Times New Roman" w:hAnsi="Times New Roman"/>
                <w:b/>
                <w:bCs/>
                <w:sz w:val="18"/>
                <w:szCs w:val="18"/>
              </w:rPr>
              <w:t>Category</w:t>
            </w:r>
          </w:p>
        </w:tc>
        <w:tc>
          <w:tcPr>
            <w:tcW w:w="2800" w:type="dxa"/>
            <w:tcBorders/>
            <w:shd w:val="clear" w:color="auto" w:fill="d9e2d9"/>
            <w:tcMar>
              <w:top w:w="40" w:type="dxa"/>
              <w:left w:w="60" w:type="dxa"/>
              <w:bottom w:w="40" w:type="dxa"/>
              <w:right w:w="60" w:type="dxa"/>
            </w:tcMar>
            <w:vAlign w:val="center"/>
          </w:tcPr>
          <w:p w14:paraId="CEFC2187">
            <w:pPr>
              <w:pStyle w:val="style0"/>
              <w:spacing w:after="40" w:lineRule="auto" w:line="240"/>
              <w:jc w:val="center"/>
              <w:rPr/>
            </w:pPr>
            <w:r>
              <w:rPr>
                <w:rFonts w:ascii="Times New Roman" w:cs="Times New Roman" w:eastAsia="Times New Roman" w:hAnsi="Times New Roman"/>
                <w:b/>
                <w:bCs/>
                <w:sz w:val="18"/>
                <w:szCs w:val="18"/>
              </w:rPr>
              <w:t>Examples</w:t>
            </w:r>
          </w:p>
        </w:tc>
        <w:tc>
          <w:tcPr>
            <w:tcW w:w="4000" w:type="dxa"/>
            <w:tcBorders/>
            <w:shd w:val="clear" w:color="auto" w:fill="d9e2d9"/>
            <w:tcMar>
              <w:top w:w="40" w:type="dxa"/>
              <w:left w:w="60" w:type="dxa"/>
              <w:bottom w:w="40" w:type="dxa"/>
              <w:right w:w="60" w:type="dxa"/>
            </w:tcMar>
            <w:vAlign w:val="center"/>
          </w:tcPr>
          <w:p w14:paraId="4AA642DE">
            <w:pPr>
              <w:pStyle w:val="style0"/>
              <w:spacing w:after="40" w:lineRule="auto" w:line="240"/>
              <w:jc w:val="center"/>
              <w:rPr/>
            </w:pPr>
            <w:r>
              <w:rPr>
                <w:rFonts w:ascii="Times New Roman" w:cs="Times New Roman" w:eastAsia="Times New Roman" w:hAnsi="Times New Roman"/>
                <w:b/>
                <w:bCs/>
                <w:sz w:val="18"/>
                <w:szCs w:val="18"/>
              </w:rPr>
              <w:t>Typical application</w:t>
            </w:r>
          </w:p>
        </w:tc>
      </w:tr>
      <w:tr w14:paraId="B46EACBA">
        <w:tblPrEx/>
        <w:trPr/>
        <w:tc>
          <w:tcPr>
            <w:tcW w:w="2400" w:type="dxa"/>
            <w:tcBorders/>
            <w:tcMar>
              <w:top w:w="40" w:type="dxa"/>
              <w:left w:w="60" w:type="dxa"/>
              <w:bottom w:w="40" w:type="dxa"/>
              <w:right w:w="60" w:type="dxa"/>
            </w:tcMar>
            <w:vAlign w:val="center"/>
          </w:tcPr>
          <w:p w14:paraId="A38EFB77">
            <w:pPr>
              <w:pStyle w:val="style0"/>
              <w:spacing w:after="40" w:lineRule="auto" w:line="240"/>
              <w:jc w:val="left"/>
              <w:rPr/>
            </w:pPr>
            <w:r>
              <w:rPr>
                <w:rFonts w:ascii="Times New Roman" w:cs="Times New Roman" w:eastAsia="Times New Roman" w:hAnsi="Times New Roman"/>
                <w:b w:val="false"/>
                <w:bCs w:val="false"/>
                <w:sz w:val="18"/>
                <w:szCs w:val="18"/>
              </w:rPr>
              <w:t>Earth-based materials</w:t>
            </w:r>
          </w:p>
        </w:tc>
        <w:tc>
          <w:tcPr>
            <w:tcW w:w="2800" w:type="dxa"/>
            <w:tcBorders/>
            <w:tcMar>
              <w:top w:w="40" w:type="dxa"/>
              <w:left w:w="60" w:type="dxa"/>
              <w:bottom w:w="40" w:type="dxa"/>
              <w:right w:w="60" w:type="dxa"/>
            </w:tcMar>
            <w:vAlign w:val="center"/>
          </w:tcPr>
          <w:p w14:paraId="B5D01D53">
            <w:pPr>
              <w:pStyle w:val="style0"/>
              <w:spacing w:after="40" w:lineRule="auto" w:line="240"/>
              <w:jc w:val="left"/>
              <w:rPr/>
            </w:pPr>
            <w:r>
              <w:rPr>
                <w:rFonts w:ascii="Times New Roman" w:cs="Times New Roman" w:eastAsia="Times New Roman" w:hAnsi="Times New Roman"/>
                <w:b w:val="false"/>
                <w:bCs w:val="false"/>
                <w:sz w:val="18"/>
                <w:szCs w:val="18"/>
              </w:rPr>
              <w:t>Laterite/mud (cob), rammed earth, compressed stabilised earth blocks, interlocking stabilised soil blocks</w:t>
            </w:r>
          </w:p>
        </w:tc>
        <w:tc>
          <w:tcPr>
            <w:tcW w:w="4000" w:type="dxa"/>
            <w:tcBorders/>
            <w:tcMar>
              <w:top w:w="40" w:type="dxa"/>
              <w:left w:w="60" w:type="dxa"/>
              <w:bottom w:w="40" w:type="dxa"/>
              <w:right w:w="60" w:type="dxa"/>
            </w:tcMar>
            <w:vAlign w:val="center"/>
          </w:tcPr>
          <w:p w14:paraId="726202D9">
            <w:pPr>
              <w:pStyle w:val="style0"/>
              <w:spacing w:after="40" w:lineRule="auto" w:line="240"/>
              <w:jc w:val="left"/>
              <w:rPr/>
            </w:pPr>
            <w:r>
              <w:rPr>
                <w:rFonts w:ascii="Times New Roman" w:cs="Times New Roman" w:eastAsia="Times New Roman" w:hAnsi="Times New Roman"/>
                <w:b w:val="false"/>
                <w:bCs w:val="false"/>
                <w:sz w:val="18"/>
                <w:szCs w:val="18"/>
              </w:rPr>
              <w:t>Load-bearing walls, partitioning, low-cost housing</w:t>
            </w:r>
          </w:p>
        </w:tc>
      </w:tr>
      <w:tr w14:paraId="99A76E8A">
        <w:tblPrEx/>
        <w:trPr/>
        <w:tc>
          <w:tcPr>
            <w:tcW w:w="2400" w:type="dxa"/>
            <w:tcBorders/>
            <w:tcMar>
              <w:top w:w="40" w:type="dxa"/>
              <w:left w:w="60" w:type="dxa"/>
              <w:bottom w:w="40" w:type="dxa"/>
              <w:right w:w="60" w:type="dxa"/>
            </w:tcMar>
            <w:vAlign w:val="center"/>
          </w:tcPr>
          <w:p w14:paraId="41E3E99A">
            <w:pPr>
              <w:pStyle w:val="style0"/>
              <w:spacing w:after="40" w:lineRule="auto" w:line="240"/>
              <w:jc w:val="left"/>
              <w:rPr/>
            </w:pPr>
            <w:r>
              <w:rPr>
                <w:rFonts w:ascii="Times New Roman" w:cs="Times New Roman" w:eastAsia="Times New Roman" w:hAnsi="Times New Roman"/>
                <w:b w:val="false"/>
                <w:bCs w:val="false"/>
                <w:sz w:val="18"/>
                <w:szCs w:val="18"/>
              </w:rPr>
              <w:t>Plant-based materials</w:t>
            </w:r>
          </w:p>
        </w:tc>
        <w:tc>
          <w:tcPr>
            <w:tcW w:w="2800" w:type="dxa"/>
            <w:tcBorders/>
            <w:tcMar>
              <w:top w:w="40" w:type="dxa"/>
              <w:left w:w="60" w:type="dxa"/>
              <w:bottom w:w="40" w:type="dxa"/>
              <w:right w:w="60" w:type="dxa"/>
            </w:tcMar>
            <w:vAlign w:val="center"/>
          </w:tcPr>
          <w:p w14:paraId="57B95C46">
            <w:pPr>
              <w:pStyle w:val="style0"/>
              <w:spacing w:after="40" w:lineRule="auto" w:line="240"/>
              <w:jc w:val="left"/>
              <w:rPr/>
            </w:pPr>
            <w:r>
              <w:rPr>
                <w:rFonts w:ascii="Times New Roman" w:cs="Times New Roman" w:eastAsia="Times New Roman" w:hAnsi="Times New Roman"/>
                <w:b w:val="false"/>
                <w:bCs w:val="false"/>
                <w:sz w:val="18"/>
                <w:szCs w:val="18"/>
              </w:rPr>
              <w:t>Bamboo, palm fronds/raffia, timber, thatch</w:t>
            </w:r>
          </w:p>
        </w:tc>
        <w:tc>
          <w:tcPr>
            <w:tcW w:w="4000" w:type="dxa"/>
            <w:tcBorders/>
            <w:tcMar>
              <w:top w:w="40" w:type="dxa"/>
              <w:left w:w="60" w:type="dxa"/>
              <w:bottom w:w="40" w:type="dxa"/>
              <w:right w:w="60" w:type="dxa"/>
            </w:tcMar>
            <w:vAlign w:val="center"/>
          </w:tcPr>
          <w:p w14:paraId="A7FE1342">
            <w:pPr>
              <w:pStyle w:val="style0"/>
              <w:spacing w:after="40" w:lineRule="auto" w:line="240"/>
              <w:jc w:val="left"/>
              <w:rPr/>
            </w:pPr>
            <w:r>
              <w:rPr>
                <w:rFonts w:ascii="Times New Roman" w:cs="Times New Roman" w:eastAsia="Times New Roman" w:hAnsi="Times New Roman"/>
                <w:b w:val="false"/>
                <w:bCs w:val="false"/>
                <w:sz w:val="18"/>
                <w:szCs w:val="18"/>
              </w:rPr>
              <w:t>Roofing, scaffolding, ceilings, screens, reinforcement</w:t>
            </w:r>
          </w:p>
        </w:tc>
      </w:tr>
      <w:tr w14:paraId="D0607E77">
        <w:tblPrEx/>
        <w:trPr/>
        <w:tc>
          <w:tcPr>
            <w:tcW w:w="2400" w:type="dxa"/>
            <w:tcBorders/>
            <w:tcMar>
              <w:top w:w="40" w:type="dxa"/>
              <w:left w:w="60" w:type="dxa"/>
              <w:bottom w:w="40" w:type="dxa"/>
              <w:right w:w="60" w:type="dxa"/>
            </w:tcMar>
            <w:vAlign w:val="center"/>
          </w:tcPr>
          <w:p w14:paraId="BEACB71F">
            <w:pPr>
              <w:pStyle w:val="style0"/>
              <w:spacing w:after="40" w:lineRule="auto" w:line="240"/>
              <w:jc w:val="left"/>
              <w:rPr/>
            </w:pPr>
            <w:r>
              <w:rPr>
                <w:rFonts w:ascii="Times New Roman" w:cs="Times New Roman" w:eastAsia="Times New Roman" w:hAnsi="Times New Roman"/>
                <w:b w:val="false"/>
                <w:bCs w:val="false"/>
                <w:sz w:val="18"/>
                <w:szCs w:val="18"/>
              </w:rPr>
              <w:t>Waste-derived pozzolans</w:t>
            </w:r>
          </w:p>
        </w:tc>
        <w:tc>
          <w:tcPr>
            <w:tcW w:w="2800" w:type="dxa"/>
            <w:tcBorders/>
            <w:tcMar>
              <w:top w:w="40" w:type="dxa"/>
              <w:left w:w="60" w:type="dxa"/>
              <w:bottom w:w="40" w:type="dxa"/>
              <w:right w:w="60" w:type="dxa"/>
            </w:tcMar>
            <w:vAlign w:val="center"/>
          </w:tcPr>
          <w:p w14:paraId="30F08C2D">
            <w:pPr>
              <w:pStyle w:val="style0"/>
              <w:spacing w:after="40" w:lineRule="auto" w:line="240"/>
              <w:jc w:val="left"/>
              <w:rPr/>
            </w:pPr>
            <w:r>
              <w:rPr>
                <w:rFonts w:ascii="Times New Roman" w:cs="Times New Roman" w:eastAsia="Times New Roman" w:hAnsi="Times New Roman"/>
                <w:b w:val="false"/>
                <w:bCs w:val="false"/>
                <w:sz w:val="18"/>
                <w:szCs w:val="18"/>
              </w:rPr>
              <w:t>Rice husk ash, sawdust ash, groundnut husk ash, palm-kernel shell ash</w:t>
            </w:r>
          </w:p>
        </w:tc>
        <w:tc>
          <w:tcPr>
            <w:tcW w:w="4000" w:type="dxa"/>
            <w:tcBorders/>
            <w:tcMar>
              <w:top w:w="40" w:type="dxa"/>
              <w:left w:w="60" w:type="dxa"/>
              <w:bottom w:w="40" w:type="dxa"/>
              <w:right w:w="60" w:type="dxa"/>
            </w:tcMar>
            <w:vAlign w:val="center"/>
          </w:tcPr>
          <w:p w14:paraId="DF3EAF83">
            <w:pPr>
              <w:pStyle w:val="style0"/>
              <w:spacing w:after="40" w:lineRule="auto" w:line="240"/>
              <w:jc w:val="left"/>
              <w:rPr/>
            </w:pPr>
            <w:r>
              <w:rPr>
                <w:rFonts w:ascii="Times New Roman" w:cs="Times New Roman" w:eastAsia="Times New Roman" w:hAnsi="Times New Roman"/>
                <w:b w:val="false"/>
                <w:bCs w:val="false"/>
                <w:sz w:val="18"/>
                <w:szCs w:val="18"/>
              </w:rPr>
              <w:t>Partial cement replacement in mortar and blocks</w:t>
            </w:r>
          </w:p>
        </w:tc>
      </w:tr>
    </w:tbl>
    <w:p w14:paraId="AB065DE2">
      <w:pPr>
        <w:pStyle w:val="style0"/>
        <w:spacing w:after="140"/>
        <w:rPr/>
      </w:pPr>
    </w:p>
    <w:p w14:paraId="8A14BEF5">
      <w:pPr>
        <w:pStyle w:val="style0"/>
        <w:spacing w:before="180" w:after="100" w:lineRule="auto" w:line="480"/>
        <w:rPr/>
      </w:pPr>
      <w:r>
        <w:rPr>
          <w:rFonts w:ascii="Times New Roman" w:cs="Times New Roman" w:eastAsia="Times New Roman" w:hAnsi="Times New Roman"/>
          <w:b/>
          <w:bCs/>
          <w:i/>
          <w:iCs/>
          <w:sz w:val="24"/>
          <w:szCs w:val="24"/>
        </w:rPr>
        <w:t>Comparative Properties and Performance</w:t>
      </w:r>
    </w:p>
    <w:p w14:paraId="30EB9715">
      <w:pPr>
        <w:pStyle w:val="style0"/>
        <w:spacing w:after="90" w:lineRule="auto" w:line="480"/>
        <w:jc w:val="both"/>
        <w:rPr/>
      </w:pPr>
      <w:r>
        <w:rPr>
          <w:rFonts w:ascii="Times New Roman" w:cs="Times New Roman" w:eastAsia="Times New Roman" w:hAnsi="Times New Roman"/>
          <w:sz w:val="24"/>
          <w:szCs w:val="24"/>
        </w:rPr>
        <w:t>The evidence reviewed points consistently to lower embodied energy and cost for earth-based walling than for sandcrete or fired clay brick, since blocks are air</w:t>
      </w:r>
      <w:r>
        <w:rPr>
          <w:rFonts w:ascii="Times New Roman" w:cs="Times New Roman" w:eastAsia="Times New Roman" w:hAnsi="Times New Roman"/>
          <w:sz w:val="24"/>
          <w:szCs w:val="24"/>
          <w:lang w:val="en-US"/>
        </w:rPr>
        <w:t xml:space="preserve"> c</w:t>
      </w:r>
      <w:r>
        <w:rPr>
          <w:rFonts w:ascii="Times New Roman" w:cs="Times New Roman" w:eastAsia="Times New Roman" w:hAnsi="Times New Roman"/>
          <w:sz w:val="24"/>
          <w:szCs w:val="24"/>
        </w:rPr>
        <w:t>ured or lightly stabilised rather than fired, and the raw material is sourced on or near the site (Olaleye &amp; Ibitoye, 2023; Sinha et al., 2026). Figure 2 presents an indicative comparison, expressed as an index against sandcrete block as the conventional baseline.</w:t>
      </w:r>
    </w:p>
    <w:p w14:paraId="14A730EA">
      <w:pPr>
        <w:pStyle w:val="style0"/>
        <w:spacing w:before="120" w:after="60"/>
        <w:jc w:val="center"/>
        <w:rPr/>
      </w:pPr>
      <w:r>
        <w:rPr/>
        <w:drawing>
          <wp:inline distL="0" distT="0" distB="0" distR="0">
            <wp:extent cx="3238500" cy="1819275"/>
            <wp:effectExtent l="0" t="0" r="0" b="0"/>
            <wp:docPr id="1027"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srcRect l="0" t="0" r="0" b="0"/>
                    <a:stretch/>
                  </pic:blipFill>
                  <pic:spPr>
                    <a:xfrm rot="0">
                      <a:off x="0" y="0"/>
                      <a:ext cx="3238500" cy="1819275"/>
                    </a:xfrm>
                    <a:prstGeom prst="rect"/>
                  </pic:spPr>
                </pic:pic>
              </a:graphicData>
            </a:graphic>
          </wp:inline>
        </w:drawing>
      </w:r>
    </w:p>
    <w:p w14:paraId="26B38214">
      <w:pPr>
        <w:pStyle w:val="style0"/>
        <w:spacing w:after="200" w:lineRule="auto" w:line="240"/>
        <w:jc w:val="center"/>
        <w:rPr/>
      </w:pPr>
      <w:r>
        <w:rPr>
          <w:rFonts w:ascii="Times New Roman" w:cs="Times New Roman" w:eastAsia="Times New Roman" w:hAnsi="Times New Roman"/>
          <w:i/>
          <w:iCs/>
          <w:sz w:val="20"/>
          <w:szCs w:val="20"/>
        </w:rPr>
        <w:t>Figure 2: Indicative comparative embodied energy of walling materials. Source: Authors' synthesis from reviewed literature.</w:t>
      </w:r>
    </w:p>
    <w:p w14:paraId="6EDBBEBD">
      <w:pPr>
        <w:pStyle w:val="style0"/>
        <w:spacing w:after="80" w:lineRule="auto" w:line="240"/>
        <w:jc w:val="both"/>
        <w:rPr/>
      </w:pPr>
      <w:r>
        <w:rPr>
          <w:rFonts w:ascii="Times New Roman" w:cs="Times New Roman" w:eastAsia="Times New Roman" w:hAnsi="Times New Roman"/>
          <w:b/>
          <w:bCs/>
          <w:sz w:val="24"/>
          <w:szCs w:val="24"/>
        </w:rPr>
        <w:t>Table 2: Comparative indicative properties of selected indigenous and conventional materials.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00"/>
        <w:gridCol w:w="1900"/>
        <w:gridCol w:w="1900"/>
        <w:gridCol w:w="1600"/>
        <w:gridCol w:w="1600"/>
      </w:tblGrid>
      <w:tr w14:paraId="B0247A3B">
        <w:trPr>
          <w:tblHeader/>
        </w:trPr>
        <w:tc>
          <w:tcPr>
            <w:tcW w:w="2200" w:type="dxa"/>
            <w:tcBorders/>
            <w:shd w:val="clear" w:color="auto" w:fill="d9e2d9"/>
            <w:tcMar>
              <w:top w:w="40" w:type="dxa"/>
              <w:left w:w="60" w:type="dxa"/>
              <w:bottom w:w="40" w:type="dxa"/>
              <w:right w:w="60" w:type="dxa"/>
            </w:tcMar>
            <w:vAlign w:val="center"/>
          </w:tcPr>
          <w:p w14:paraId="EBF7D609">
            <w:pPr>
              <w:pStyle w:val="style0"/>
              <w:spacing w:after="40" w:lineRule="auto" w:line="240"/>
              <w:jc w:val="center"/>
              <w:rPr/>
            </w:pPr>
            <w:r>
              <w:rPr>
                <w:rFonts w:ascii="Times New Roman" w:cs="Times New Roman" w:eastAsia="Times New Roman" w:hAnsi="Times New Roman"/>
                <w:b/>
                <w:bCs/>
                <w:sz w:val="18"/>
                <w:szCs w:val="18"/>
              </w:rPr>
              <w:t>Material</w:t>
            </w:r>
          </w:p>
        </w:tc>
        <w:tc>
          <w:tcPr>
            <w:tcW w:w="1900" w:type="dxa"/>
            <w:tcBorders/>
            <w:shd w:val="clear" w:color="auto" w:fill="d9e2d9"/>
            <w:tcMar>
              <w:top w:w="40" w:type="dxa"/>
              <w:left w:w="60" w:type="dxa"/>
              <w:bottom w:w="40" w:type="dxa"/>
              <w:right w:w="60" w:type="dxa"/>
            </w:tcMar>
            <w:vAlign w:val="center"/>
          </w:tcPr>
          <w:p w14:paraId="BECF111E">
            <w:pPr>
              <w:pStyle w:val="style0"/>
              <w:spacing w:after="40" w:lineRule="auto" w:line="240"/>
              <w:jc w:val="center"/>
              <w:rPr/>
            </w:pPr>
            <w:r>
              <w:rPr>
                <w:rFonts w:ascii="Times New Roman" w:cs="Times New Roman" w:eastAsia="Times New Roman" w:hAnsi="Times New Roman"/>
                <w:b/>
                <w:bCs/>
                <w:sz w:val="18"/>
                <w:szCs w:val="18"/>
              </w:rPr>
              <w:t>Embodied energy</w:t>
            </w:r>
          </w:p>
        </w:tc>
        <w:tc>
          <w:tcPr>
            <w:tcW w:w="1900" w:type="dxa"/>
            <w:tcBorders/>
            <w:shd w:val="clear" w:color="auto" w:fill="d9e2d9"/>
            <w:tcMar>
              <w:top w:w="40" w:type="dxa"/>
              <w:left w:w="60" w:type="dxa"/>
              <w:bottom w:w="40" w:type="dxa"/>
              <w:right w:w="60" w:type="dxa"/>
            </w:tcMar>
            <w:vAlign w:val="center"/>
          </w:tcPr>
          <w:p w14:paraId="E71E8623">
            <w:pPr>
              <w:pStyle w:val="style0"/>
              <w:spacing w:after="40" w:lineRule="auto" w:line="240"/>
              <w:jc w:val="center"/>
              <w:rPr/>
            </w:pPr>
            <w:r>
              <w:rPr>
                <w:rFonts w:ascii="Times New Roman" w:cs="Times New Roman" w:eastAsia="Times New Roman" w:hAnsi="Times New Roman"/>
                <w:b/>
                <w:bCs/>
                <w:sz w:val="18"/>
                <w:szCs w:val="18"/>
              </w:rPr>
              <w:t>Relative cost</w:t>
            </w:r>
          </w:p>
        </w:tc>
        <w:tc>
          <w:tcPr>
            <w:tcW w:w="1600" w:type="dxa"/>
            <w:tcBorders/>
            <w:shd w:val="clear" w:color="auto" w:fill="d9e2d9"/>
            <w:tcMar>
              <w:top w:w="40" w:type="dxa"/>
              <w:left w:w="60" w:type="dxa"/>
              <w:bottom w:w="40" w:type="dxa"/>
              <w:right w:w="60" w:type="dxa"/>
            </w:tcMar>
            <w:vAlign w:val="center"/>
          </w:tcPr>
          <w:p w14:paraId="D16E55B2">
            <w:pPr>
              <w:pStyle w:val="style0"/>
              <w:spacing w:after="40" w:lineRule="auto" w:line="240"/>
              <w:jc w:val="center"/>
              <w:rPr/>
            </w:pPr>
            <w:r>
              <w:rPr>
                <w:rFonts w:ascii="Times New Roman" w:cs="Times New Roman" w:eastAsia="Times New Roman" w:hAnsi="Times New Roman"/>
                <w:b/>
                <w:bCs/>
                <w:sz w:val="18"/>
                <w:szCs w:val="18"/>
              </w:rPr>
              <w:t>Thermal performance</w:t>
            </w:r>
          </w:p>
        </w:tc>
        <w:tc>
          <w:tcPr>
            <w:tcW w:w="1600" w:type="dxa"/>
            <w:tcBorders/>
            <w:shd w:val="clear" w:color="auto" w:fill="d9e2d9"/>
            <w:tcMar>
              <w:top w:w="40" w:type="dxa"/>
              <w:left w:w="60" w:type="dxa"/>
              <w:bottom w:w="40" w:type="dxa"/>
              <w:right w:w="60" w:type="dxa"/>
            </w:tcMar>
            <w:vAlign w:val="center"/>
          </w:tcPr>
          <w:p w14:paraId="B11128F2">
            <w:pPr>
              <w:pStyle w:val="style0"/>
              <w:spacing w:after="40" w:lineRule="auto" w:line="240"/>
              <w:jc w:val="center"/>
              <w:rPr/>
            </w:pPr>
            <w:r>
              <w:rPr>
                <w:rFonts w:ascii="Times New Roman" w:cs="Times New Roman" w:eastAsia="Times New Roman" w:hAnsi="Times New Roman"/>
                <w:b/>
                <w:bCs/>
                <w:sz w:val="18"/>
                <w:szCs w:val="18"/>
              </w:rPr>
              <w:t>Local availability</w:t>
            </w:r>
          </w:p>
        </w:tc>
      </w:tr>
      <w:tr w14:paraId="57BBDFD2">
        <w:tblPrEx/>
        <w:trPr/>
        <w:tc>
          <w:tcPr>
            <w:tcW w:w="2200" w:type="dxa"/>
            <w:tcBorders/>
            <w:tcMar>
              <w:top w:w="40" w:type="dxa"/>
              <w:left w:w="60" w:type="dxa"/>
              <w:bottom w:w="40" w:type="dxa"/>
              <w:right w:w="60" w:type="dxa"/>
            </w:tcMar>
            <w:vAlign w:val="center"/>
          </w:tcPr>
          <w:p w14:paraId="25DF2F42">
            <w:pPr>
              <w:pStyle w:val="style0"/>
              <w:spacing w:after="40" w:lineRule="auto" w:line="240"/>
              <w:jc w:val="left"/>
              <w:rPr/>
            </w:pPr>
            <w:r>
              <w:rPr>
                <w:rFonts w:ascii="Times New Roman" w:cs="Times New Roman" w:eastAsia="Times New Roman" w:hAnsi="Times New Roman"/>
                <w:b w:val="false"/>
                <w:bCs w:val="false"/>
                <w:sz w:val="18"/>
                <w:szCs w:val="18"/>
              </w:rPr>
              <w:t>Sandcrete block</w:t>
            </w:r>
          </w:p>
        </w:tc>
        <w:tc>
          <w:tcPr>
            <w:tcW w:w="1900" w:type="dxa"/>
            <w:tcBorders/>
            <w:tcMar>
              <w:top w:w="40" w:type="dxa"/>
              <w:left w:w="60" w:type="dxa"/>
              <w:bottom w:w="40" w:type="dxa"/>
              <w:right w:w="60" w:type="dxa"/>
            </w:tcMar>
            <w:vAlign w:val="center"/>
          </w:tcPr>
          <w:p w14:paraId="EC6282F2">
            <w:pPr>
              <w:pStyle w:val="style0"/>
              <w:spacing w:after="40" w:lineRule="auto" w:line="240"/>
              <w:jc w:val="left"/>
              <w:rPr/>
            </w:pPr>
            <w:r>
              <w:rPr>
                <w:rFonts w:ascii="Times New Roman" w:cs="Times New Roman" w:eastAsia="Times New Roman" w:hAnsi="Times New Roman"/>
                <w:b w:val="false"/>
                <w:bCs w:val="false"/>
                <w:sz w:val="18"/>
                <w:szCs w:val="18"/>
              </w:rPr>
              <w:t>High (baseline)</w:t>
            </w:r>
          </w:p>
        </w:tc>
        <w:tc>
          <w:tcPr>
            <w:tcW w:w="1900" w:type="dxa"/>
            <w:tcBorders/>
            <w:tcMar>
              <w:top w:w="40" w:type="dxa"/>
              <w:left w:w="60" w:type="dxa"/>
              <w:bottom w:w="40" w:type="dxa"/>
              <w:right w:w="60" w:type="dxa"/>
            </w:tcMar>
            <w:vAlign w:val="center"/>
          </w:tcPr>
          <w:p w14:paraId="AC87C12D">
            <w:pPr>
              <w:pStyle w:val="style0"/>
              <w:spacing w:after="40" w:lineRule="auto" w:line="240"/>
              <w:jc w:val="left"/>
              <w:rPr/>
            </w:pPr>
            <w:r>
              <w:rPr>
                <w:rFonts w:ascii="Times New Roman" w:cs="Times New Roman" w:eastAsia="Times New Roman" w:hAnsi="Times New Roman"/>
                <w:b w:val="false"/>
                <w:bCs w:val="false"/>
                <w:sz w:val="18"/>
                <w:szCs w:val="18"/>
              </w:rPr>
              <w:t>High</w:t>
            </w:r>
          </w:p>
        </w:tc>
        <w:tc>
          <w:tcPr>
            <w:tcW w:w="1600" w:type="dxa"/>
            <w:tcBorders/>
            <w:tcMar>
              <w:top w:w="40" w:type="dxa"/>
              <w:left w:w="60" w:type="dxa"/>
              <w:bottom w:w="40" w:type="dxa"/>
              <w:right w:w="60" w:type="dxa"/>
            </w:tcMar>
            <w:vAlign w:val="center"/>
          </w:tcPr>
          <w:p w14:paraId="83069DDA">
            <w:pPr>
              <w:pStyle w:val="style0"/>
              <w:spacing w:after="40" w:lineRule="auto" w:line="240"/>
              <w:jc w:val="left"/>
              <w:rPr/>
            </w:pPr>
            <w:r>
              <w:rPr>
                <w:rFonts w:ascii="Times New Roman" w:cs="Times New Roman" w:eastAsia="Times New Roman" w:hAnsi="Times New Roman"/>
                <w:b w:val="false"/>
                <w:bCs w:val="false"/>
                <w:sz w:val="18"/>
                <w:szCs w:val="18"/>
              </w:rPr>
              <w:t>Moderate</w:t>
            </w:r>
          </w:p>
        </w:tc>
        <w:tc>
          <w:tcPr>
            <w:tcW w:w="1600" w:type="dxa"/>
            <w:tcBorders/>
            <w:tcMar>
              <w:top w:w="40" w:type="dxa"/>
              <w:left w:w="60" w:type="dxa"/>
              <w:bottom w:w="40" w:type="dxa"/>
              <w:right w:w="60" w:type="dxa"/>
            </w:tcMar>
            <w:vAlign w:val="center"/>
          </w:tcPr>
          <w:p w14:paraId="BF2C9017">
            <w:pPr>
              <w:pStyle w:val="style0"/>
              <w:spacing w:after="40" w:lineRule="auto" w:line="240"/>
              <w:jc w:val="left"/>
              <w:rPr/>
            </w:pPr>
            <w:r>
              <w:rPr>
                <w:rFonts w:ascii="Times New Roman" w:cs="Times New Roman" w:eastAsia="Times New Roman" w:hAnsi="Times New Roman"/>
                <w:b w:val="false"/>
                <w:bCs w:val="false"/>
                <w:sz w:val="18"/>
                <w:szCs w:val="18"/>
              </w:rPr>
              <w:t>High</w:t>
            </w:r>
          </w:p>
        </w:tc>
      </w:tr>
      <w:tr w14:paraId="15213CA0">
        <w:tblPrEx/>
        <w:trPr/>
        <w:tc>
          <w:tcPr>
            <w:tcW w:w="2200" w:type="dxa"/>
            <w:tcBorders/>
            <w:tcMar>
              <w:top w:w="40" w:type="dxa"/>
              <w:left w:w="60" w:type="dxa"/>
              <w:bottom w:w="40" w:type="dxa"/>
              <w:right w:w="60" w:type="dxa"/>
            </w:tcMar>
            <w:vAlign w:val="center"/>
          </w:tcPr>
          <w:p w14:paraId="2893C1F0">
            <w:pPr>
              <w:pStyle w:val="style0"/>
              <w:spacing w:after="40" w:lineRule="auto" w:line="240"/>
              <w:jc w:val="left"/>
              <w:rPr/>
            </w:pPr>
            <w:r>
              <w:rPr>
                <w:rFonts w:ascii="Times New Roman" w:cs="Times New Roman" w:eastAsia="Times New Roman" w:hAnsi="Times New Roman"/>
                <w:b w:val="false"/>
                <w:bCs w:val="false"/>
                <w:sz w:val="18"/>
                <w:szCs w:val="18"/>
              </w:rPr>
              <w:t>Interlocking stabilised soil block</w:t>
            </w:r>
          </w:p>
        </w:tc>
        <w:tc>
          <w:tcPr>
            <w:tcW w:w="1900" w:type="dxa"/>
            <w:tcBorders/>
            <w:tcMar>
              <w:top w:w="40" w:type="dxa"/>
              <w:left w:w="60" w:type="dxa"/>
              <w:bottom w:w="40" w:type="dxa"/>
              <w:right w:w="60" w:type="dxa"/>
            </w:tcMar>
            <w:vAlign w:val="center"/>
          </w:tcPr>
          <w:p w14:paraId="B8204004">
            <w:pPr>
              <w:pStyle w:val="style0"/>
              <w:spacing w:after="40" w:lineRule="auto" w:line="240"/>
              <w:jc w:val="left"/>
              <w:rPr/>
            </w:pPr>
            <w:r>
              <w:rPr>
                <w:rFonts w:ascii="Times New Roman" w:cs="Times New Roman" w:eastAsia="Times New Roman" w:hAnsi="Times New Roman"/>
                <w:b w:val="false"/>
                <w:bCs w:val="false"/>
                <w:sz w:val="18"/>
                <w:szCs w:val="18"/>
              </w:rPr>
              <w:t>Low</w:t>
            </w:r>
          </w:p>
        </w:tc>
        <w:tc>
          <w:tcPr>
            <w:tcW w:w="1900" w:type="dxa"/>
            <w:tcBorders/>
            <w:tcMar>
              <w:top w:w="40" w:type="dxa"/>
              <w:left w:w="60" w:type="dxa"/>
              <w:bottom w:w="40" w:type="dxa"/>
              <w:right w:w="60" w:type="dxa"/>
            </w:tcMar>
            <w:vAlign w:val="center"/>
          </w:tcPr>
          <w:p w14:paraId="10E9DCBC">
            <w:pPr>
              <w:pStyle w:val="style0"/>
              <w:spacing w:after="40" w:lineRule="auto" w:line="240"/>
              <w:jc w:val="left"/>
              <w:rPr/>
            </w:pPr>
            <w:r>
              <w:rPr>
                <w:rFonts w:ascii="Times New Roman" w:cs="Times New Roman" w:eastAsia="Times New Roman" w:hAnsi="Times New Roman"/>
                <w:b w:val="false"/>
                <w:bCs w:val="false"/>
                <w:sz w:val="18"/>
                <w:szCs w:val="18"/>
              </w:rPr>
              <w:t>Low</w:t>
            </w:r>
          </w:p>
        </w:tc>
        <w:tc>
          <w:tcPr>
            <w:tcW w:w="1600" w:type="dxa"/>
            <w:tcBorders/>
            <w:tcMar>
              <w:top w:w="40" w:type="dxa"/>
              <w:left w:w="60" w:type="dxa"/>
              <w:bottom w:w="40" w:type="dxa"/>
              <w:right w:w="60" w:type="dxa"/>
            </w:tcMar>
            <w:vAlign w:val="center"/>
          </w:tcPr>
          <w:p w14:paraId="55B34A75">
            <w:pPr>
              <w:pStyle w:val="style0"/>
              <w:spacing w:after="40" w:lineRule="auto" w:line="240"/>
              <w:jc w:val="left"/>
              <w:rPr/>
            </w:pPr>
            <w:r>
              <w:rPr>
                <w:rFonts w:ascii="Times New Roman" w:cs="Times New Roman" w:eastAsia="Times New Roman" w:hAnsi="Times New Roman"/>
                <w:b w:val="false"/>
                <w:bCs w:val="false"/>
                <w:sz w:val="18"/>
                <w:szCs w:val="18"/>
              </w:rPr>
              <w:t>Good</w:t>
            </w:r>
          </w:p>
        </w:tc>
        <w:tc>
          <w:tcPr>
            <w:tcW w:w="1600" w:type="dxa"/>
            <w:tcBorders/>
            <w:tcMar>
              <w:top w:w="40" w:type="dxa"/>
              <w:left w:w="60" w:type="dxa"/>
              <w:bottom w:w="40" w:type="dxa"/>
              <w:right w:w="60" w:type="dxa"/>
            </w:tcMar>
            <w:vAlign w:val="center"/>
          </w:tcPr>
          <w:p w14:paraId="C7122E9E">
            <w:pPr>
              <w:pStyle w:val="style0"/>
              <w:spacing w:after="40" w:lineRule="auto" w:line="240"/>
              <w:jc w:val="left"/>
              <w:rPr/>
            </w:pPr>
            <w:r>
              <w:rPr>
                <w:rFonts w:ascii="Times New Roman" w:cs="Times New Roman" w:eastAsia="Times New Roman" w:hAnsi="Times New Roman"/>
                <w:b w:val="false"/>
                <w:bCs w:val="false"/>
                <w:sz w:val="18"/>
                <w:szCs w:val="18"/>
              </w:rPr>
              <w:t>High</w:t>
            </w:r>
          </w:p>
        </w:tc>
      </w:tr>
      <w:tr w14:paraId="64504E75">
        <w:tblPrEx/>
        <w:trPr/>
        <w:tc>
          <w:tcPr>
            <w:tcW w:w="2200" w:type="dxa"/>
            <w:tcBorders/>
            <w:tcMar>
              <w:top w:w="40" w:type="dxa"/>
              <w:left w:w="60" w:type="dxa"/>
              <w:bottom w:w="40" w:type="dxa"/>
              <w:right w:w="60" w:type="dxa"/>
            </w:tcMar>
            <w:vAlign w:val="center"/>
          </w:tcPr>
          <w:p w14:paraId="DB236A53">
            <w:pPr>
              <w:pStyle w:val="style0"/>
              <w:spacing w:after="40" w:lineRule="auto" w:line="240"/>
              <w:jc w:val="left"/>
              <w:rPr/>
            </w:pPr>
            <w:r>
              <w:rPr>
                <w:rFonts w:ascii="Times New Roman" w:cs="Times New Roman" w:eastAsia="Times New Roman" w:hAnsi="Times New Roman"/>
                <w:b w:val="false"/>
                <w:bCs w:val="false"/>
                <w:sz w:val="18"/>
                <w:szCs w:val="18"/>
              </w:rPr>
              <w:t>Compressed stabilised earth block</w:t>
            </w:r>
          </w:p>
        </w:tc>
        <w:tc>
          <w:tcPr>
            <w:tcW w:w="1900" w:type="dxa"/>
            <w:tcBorders/>
            <w:tcMar>
              <w:top w:w="40" w:type="dxa"/>
              <w:left w:w="60" w:type="dxa"/>
              <w:bottom w:w="40" w:type="dxa"/>
              <w:right w:w="60" w:type="dxa"/>
            </w:tcMar>
            <w:vAlign w:val="center"/>
          </w:tcPr>
          <w:p w14:paraId="68D90E01">
            <w:pPr>
              <w:pStyle w:val="style0"/>
              <w:spacing w:after="40" w:lineRule="auto" w:line="240"/>
              <w:jc w:val="left"/>
              <w:rPr/>
            </w:pPr>
            <w:r>
              <w:rPr>
                <w:rFonts w:ascii="Times New Roman" w:cs="Times New Roman" w:eastAsia="Times New Roman" w:hAnsi="Times New Roman"/>
                <w:b w:val="false"/>
                <w:bCs w:val="false"/>
                <w:sz w:val="18"/>
                <w:szCs w:val="18"/>
              </w:rPr>
              <w:t>Low</w:t>
            </w:r>
          </w:p>
        </w:tc>
        <w:tc>
          <w:tcPr>
            <w:tcW w:w="1900" w:type="dxa"/>
            <w:tcBorders/>
            <w:tcMar>
              <w:top w:w="40" w:type="dxa"/>
              <w:left w:w="60" w:type="dxa"/>
              <w:bottom w:w="40" w:type="dxa"/>
              <w:right w:w="60" w:type="dxa"/>
            </w:tcMar>
            <w:vAlign w:val="center"/>
          </w:tcPr>
          <w:p w14:paraId="E43539F7">
            <w:pPr>
              <w:pStyle w:val="style0"/>
              <w:spacing w:after="40" w:lineRule="auto" w:line="240"/>
              <w:jc w:val="left"/>
              <w:rPr/>
            </w:pPr>
            <w:r>
              <w:rPr>
                <w:rFonts w:ascii="Times New Roman" w:cs="Times New Roman" w:eastAsia="Times New Roman" w:hAnsi="Times New Roman"/>
                <w:b w:val="false"/>
                <w:bCs w:val="false"/>
                <w:sz w:val="18"/>
                <w:szCs w:val="18"/>
              </w:rPr>
              <w:t>Low-medium</w:t>
            </w:r>
          </w:p>
        </w:tc>
        <w:tc>
          <w:tcPr>
            <w:tcW w:w="1600" w:type="dxa"/>
            <w:tcBorders/>
            <w:tcMar>
              <w:top w:w="40" w:type="dxa"/>
              <w:left w:w="60" w:type="dxa"/>
              <w:bottom w:w="40" w:type="dxa"/>
              <w:right w:w="60" w:type="dxa"/>
            </w:tcMar>
            <w:vAlign w:val="center"/>
          </w:tcPr>
          <w:p w14:paraId="9D31ACB4">
            <w:pPr>
              <w:pStyle w:val="style0"/>
              <w:spacing w:after="40" w:lineRule="auto" w:line="240"/>
              <w:jc w:val="left"/>
              <w:rPr/>
            </w:pPr>
            <w:r>
              <w:rPr>
                <w:rFonts w:ascii="Times New Roman" w:cs="Times New Roman" w:eastAsia="Times New Roman" w:hAnsi="Times New Roman"/>
                <w:b w:val="false"/>
                <w:bCs w:val="false"/>
                <w:sz w:val="18"/>
                <w:szCs w:val="18"/>
              </w:rPr>
              <w:t>Good</w:t>
            </w:r>
          </w:p>
        </w:tc>
        <w:tc>
          <w:tcPr>
            <w:tcW w:w="1600" w:type="dxa"/>
            <w:tcBorders/>
            <w:tcMar>
              <w:top w:w="40" w:type="dxa"/>
              <w:left w:w="60" w:type="dxa"/>
              <w:bottom w:w="40" w:type="dxa"/>
              <w:right w:w="60" w:type="dxa"/>
            </w:tcMar>
            <w:vAlign w:val="center"/>
          </w:tcPr>
          <w:p w14:paraId="DA1A0D46">
            <w:pPr>
              <w:pStyle w:val="style0"/>
              <w:spacing w:after="40" w:lineRule="auto" w:line="240"/>
              <w:jc w:val="left"/>
              <w:rPr/>
            </w:pPr>
            <w:r>
              <w:rPr>
                <w:rFonts w:ascii="Times New Roman" w:cs="Times New Roman" w:eastAsia="Times New Roman" w:hAnsi="Times New Roman"/>
                <w:b w:val="false"/>
                <w:bCs w:val="false"/>
                <w:sz w:val="18"/>
                <w:szCs w:val="18"/>
              </w:rPr>
              <w:t>Medium-high</w:t>
            </w:r>
          </w:p>
        </w:tc>
      </w:tr>
      <w:tr w14:paraId="1E4C9E65">
        <w:tblPrEx/>
        <w:trPr/>
        <w:tc>
          <w:tcPr>
            <w:tcW w:w="2200" w:type="dxa"/>
            <w:tcBorders/>
            <w:tcMar>
              <w:top w:w="40" w:type="dxa"/>
              <w:left w:w="60" w:type="dxa"/>
              <w:bottom w:w="40" w:type="dxa"/>
              <w:right w:w="60" w:type="dxa"/>
            </w:tcMar>
            <w:vAlign w:val="center"/>
          </w:tcPr>
          <w:p w14:paraId="9D9C04CE">
            <w:pPr>
              <w:pStyle w:val="style0"/>
              <w:spacing w:after="40" w:lineRule="auto" w:line="240"/>
              <w:jc w:val="left"/>
              <w:rPr/>
            </w:pPr>
            <w:r>
              <w:rPr>
                <w:rFonts w:ascii="Times New Roman" w:cs="Times New Roman" w:eastAsia="Times New Roman" w:hAnsi="Times New Roman"/>
                <w:b w:val="false"/>
                <w:bCs w:val="false"/>
                <w:sz w:val="18"/>
                <w:szCs w:val="18"/>
              </w:rPr>
              <w:t>Bamboo</w:t>
            </w:r>
          </w:p>
        </w:tc>
        <w:tc>
          <w:tcPr>
            <w:tcW w:w="1900" w:type="dxa"/>
            <w:tcBorders/>
            <w:tcMar>
              <w:top w:w="40" w:type="dxa"/>
              <w:left w:w="60" w:type="dxa"/>
              <w:bottom w:w="40" w:type="dxa"/>
              <w:right w:w="60" w:type="dxa"/>
            </w:tcMar>
            <w:vAlign w:val="center"/>
          </w:tcPr>
          <w:p w14:paraId="95D42E67">
            <w:pPr>
              <w:pStyle w:val="style0"/>
              <w:spacing w:after="40" w:lineRule="auto" w:line="240"/>
              <w:jc w:val="left"/>
              <w:rPr/>
            </w:pPr>
            <w:r>
              <w:rPr>
                <w:rFonts w:ascii="Times New Roman" w:cs="Times New Roman" w:eastAsia="Times New Roman" w:hAnsi="Times New Roman"/>
                <w:b w:val="false"/>
                <w:bCs w:val="false"/>
                <w:sz w:val="18"/>
                <w:szCs w:val="18"/>
              </w:rPr>
              <w:t>Very low</w:t>
            </w:r>
          </w:p>
        </w:tc>
        <w:tc>
          <w:tcPr>
            <w:tcW w:w="1900" w:type="dxa"/>
            <w:tcBorders/>
            <w:tcMar>
              <w:top w:w="40" w:type="dxa"/>
              <w:left w:w="60" w:type="dxa"/>
              <w:bottom w:w="40" w:type="dxa"/>
              <w:right w:w="60" w:type="dxa"/>
            </w:tcMar>
            <w:vAlign w:val="center"/>
          </w:tcPr>
          <w:p w14:paraId="37D97AEE">
            <w:pPr>
              <w:pStyle w:val="style0"/>
              <w:spacing w:after="40" w:lineRule="auto" w:line="240"/>
              <w:jc w:val="left"/>
              <w:rPr/>
            </w:pPr>
            <w:r>
              <w:rPr>
                <w:rFonts w:ascii="Times New Roman" w:cs="Times New Roman" w:eastAsia="Times New Roman" w:hAnsi="Times New Roman"/>
                <w:b w:val="false"/>
                <w:bCs w:val="false"/>
                <w:sz w:val="18"/>
                <w:szCs w:val="18"/>
              </w:rPr>
              <w:t>Low</w:t>
            </w:r>
          </w:p>
        </w:tc>
        <w:tc>
          <w:tcPr>
            <w:tcW w:w="1600" w:type="dxa"/>
            <w:tcBorders/>
            <w:tcMar>
              <w:top w:w="40" w:type="dxa"/>
              <w:left w:w="60" w:type="dxa"/>
              <w:bottom w:w="40" w:type="dxa"/>
              <w:right w:w="60" w:type="dxa"/>
            </w:tcMar>
            <w:vAlign w:val="center"/>
          </w:tcPr>
          <w:p w14:paraId="4DD716E0">
            <w:pPr>
              <w:pStyle w:val="style0"/>
              <w:spacing w:after="40" w:lineRule="auto" w:line="240"/>
              <w:jc w:val="left"/>
              <w:rPr/>
            </w:pPr>
            <w:r>
              <w:rPr>
                <w:rFonts w:ascii="Times New Roman" w:cs="Times New Roman" w:eastAsia="Times New Roman" w:hAnsi="Times New Roman"/>
                <w:b w:val="false"/>
                <w:bCs w:val="false"/>
                <w:sz w:val="18"/>
                <w:szCs w:val="18"/>
              </w:rPr>
              <w:t>Good (roofing/shading)</w:t>
            </w:r>
          </w:p>
        </w:tc>
        <w:tc>
          <w:tcPr>
            <w:tcW w:w="1600" w:type="dxa"/>
            <w:tcBorders/>
            <w:tcMar>
              <w:top w:w="40" w:type="dxa"/>
              <w:left w:w="60" w:type="dxa"/>
              <w:bottom w:w="40" w:type="dxa"/>
              <w:right w:w="60" w:type="dxa"/>
            </w:tcMar>
            <w:vAlign w:val="center"/>
          </w:tcPr>
          <w:p w14:paraId="6968DC5C">
            <w:pPr>
              <w:pStyle w:val="style0"/>
              <w:spacing w:after="40" w:lineRule="auto" w:line="240"/>
              <w:jc w:val="left"/>
              <w:rPr/>
            </w:pPr>
            <w:r>
              <w:rPr>
                <w:rFonts w:ascii="Times New Roman" w:cs="Times New Roman" w:eastAsia="Times New Roman" w:hAnsi="Times New Roman"/>
                <w:b w:val="false"/>
                <w:bCs w:val="false"/>
                <w:sz w:val="18"/>
                <w:szCs w:val="18"/>
              </w:rPr>
              <w:t>Medium</w:t>
            </w:r>
          </w:p>
        </w:tc>
      </w:tr>
      <w:tr w14:paraId="17142BEF">
        <w:tblPrEx/>
        <w:trPr/>
        <w:tc>
          <w:tcPr>
            <w:tcW w:w="2200" w:type="dxa"/>
            <w:tcBorders/>
            <w:tcMar>
              <w:top w:w="40" w:type="dxa"/>
              <w:left w:w="60" w:type="dxa"/>
              <w:bottom w:w="40" w:type="dxa"/>
              <w:right w:w="60" w:type="dxa"/>
            </w:tcMar>
            <w:vAlign w:val="center"/>
          </w:tcPr>
          <w:p w14:paraId="D6A6BC81">
            <w:pPr>
              <w:pStyle w:val="style0"/>
              <w:spacing w:after="40" w:lineRule="auto" w:line="240"/>
              <w:jc w:val="left"/>
              <w:rPr/>
            </w:pPr>
            <w:r>
              <w:rPr>
                <w:rFonts w:ascii="Times New Roman" w:cs="Times New Roman" w:eastAsia="Times New Roman" w:hAnsi="Times New Roman"/>
                <w:b w:val="false"/>
                <w:bCs w:val="false"/>
                <w:sz w:val="18"/>
                <w:szCs w:val="18"/>
              </w:rPr>
              <w:t>Ash-blended cement (RHA/SDA)</w:t>
            </w:r>
          </w:p>
        </w:tc>
        <w:tc>
          <w:tcPr>
            <w:tcW w:w="1900" w:type="dxa"/>
            <w:tcBorders/>
            <w:tcMar>
              <w:top w:w="40" w:type="dxa"/>
              <w:left w:w="60" w:type="dxa"/>
              <w:bottom w:w="40" w:type="dxa"/>
              <w:right w:w="60" w:type="dxa"/>
            </w:tcMar>
            <w:vAlign w:val="center"/>
          </w:tcPr>
          <w:p w14:paraId="5A702C50">
            <w:pPr>
              <w:pStyle w:val="style0"/>
              <w:spacing w:after="40" w:lineRule="auto" w:line="240"/>
              <w:jc w:val="left"/>
              <w:rPr/>
            </w:pPr>
            <w:r>
              <w:rPr>
                <w:rFonts w:ascii="Times New Roman" w:cs="Times New Roman" w:eastAsia="Times New Roman" w:hAnsi="Times New Roman"/>
                <w:b w:val="false"/>
                <w:bCs w:val="false"/>
                <w:sz w:val="18"/>
                <w:szCs w:val="18"/>
              </w:rPr>
              <w:t>Low-medium</w:t>
            </w:r>
          </w:p>
        </w:tc>
        <w:tc>
          <w:tcPr>
            <w:tcW w:w="1900" w:type="dxa"/>
            <w:tcBorders/>
            <w:tcMar>
              <w:top w:w="40" w:type="dxa"/>
              <w:left w:w="60" w:type="dxa"/>
              <w:bottom w:w="40" w:type="dxa"/>
              <w:right w:w="60" w:type="dxa"/>
            </w:tcMar>
            <w:vAlign w:val="center"/>
          </w:tcPr>
          <w:p w14:paraId="03761F6E">
            <w:pPr>
              <w:pStyle w:val="style0"/>
              <w:spacing w:after="40" w:lineRule="auto" w:line="240"/>
              <w:jc w:val="left"/>
              <w:rPr/>
            </w:pPr>
            <w:r>
              <w:rPr>
                <w:rFonts w:ascii="Times New Roman" w:cs="Times New Roman" w:eastAsia="Times New Roman" w:hAnsi="Times New Roman"/>
                <w:b w:val="false"/>
                <w:bCs w:val="false"/>
                <w:sz w:val="18"/>
                <w:szCs w:val="18"/>
              </w:rPr>
              <w:t>Low</w:t>
            </w:r>
          </w:p>
        </w:tc>
        <w:tc>
          <w:tcPr>
            <w:tcW w:w="1600" w:type="dxa"/>
            <w:tcBorders/>
            <w:tcMar>
              <w:top w:w="40" w:type="dxa"/>
              <w:left w:w="60" w:type="dxa"/>
              <w:bottom w:w="40" w:type="dxa"/>
              <w:right w:w="60" w:type="dxa"/>
            </w:tcMar>
            <w:vAlign w:val="center"/>
          </w:tcPr>
          <w:p w14:paraId="01BE2BD3">
            <w:pPr>
              <w:pStyle w:val="style0"/>
              <w:spacing w:after="40" w:lineRule="auto" w:line="240"/>
              <w:jc w:val="left"/>
              <w:rPr/>
            </w:pPr>
            <w:r>
              <w:rPr>
                <w:rFonts w:ascii="Times New Roman" w:cs="Times New Roman" w:eastAsia="Times New Roman" w:hAnsi="Times New Roman"/>
                <w:b w:val="false"/>
                <w:bCs w:val="false"/>
                <w:sz w:val="18"/>
                <w:szCs w:val="18"/>
              </w:rPr>
              <w:t>Not applicable</w:t>
            </w:r>
          </w:p>
        </w:tc>
        <w:tc>
          <w:tcPr>
            <w:tcW w:w="1600" w:type="dxa"/>
            <w:tcBorders/>
            <w:tcMar>
              <w:top w:w="40" w:type="dxa"/>
              <w:left w:w="60" w:type="dxa"/>
              <w:bottom w:w="40" w:type="dxa"/>
              <w:right w:w="60" w:type="dxa"/>
            </w:tcMar>
            <w:vAlign w:val="center"/>
          </w:tcPr>
          <w:p w14:paraId="F19ADB3A">
            <w:pPr>
              <w:pStyle w:val="style0"/>
              <w:spacing w:after="40" w:lineRule="auto" w:line="240"/>
              <w:jc w:val="left"/>
              <w:rPr/>
            </w:pPr>
            <w:r>
              <w:rPr>
                <w:rFonts w:ascii="Times New Roman" w:cs="Times New Roman" w:eastAsia="Times New Roman" w:hAnsi="Times New Roman"/>
                <w:b w:val="false"/>
                <w:bCs w:val="false"/>
                <w:sz w:val="18"/>
                <w:szCs w:val="18"/>
              </w:rPr>
              <w:t>Medium</w:t>
            </w:r>
          </w:p>
        </w:tc>
      </w:tr>
    </w:tbl>
    <w:p w14:paraId="CDEAF4E3">
      <w:pPr>
        <w:pStyle w:val="style0"/>
        <w:spacing w:after="140"/>
        <w:rPr/>
      </w:pPr>
    </w:p>
    <w:p w14:paraId="BB007F76">
      <w:pPr>
        <w:pStyle w:val="style0"/>
        <w:spacing w:before="180" w:after="100" w:lineRule="auto" w:line="480"/>
        <w:rPr/>
      </w:pPr>
      <w:r>
        <w:rPr>
          <w:rFonts w:ascii="Times New Roman" w:cs="Times New Roman" w:eastAsia="Times New Roman" w:hAnsi="Times New Roman"/>
          <w:b/>
          <w:bCs/>
          <w:i/>
          <w:iCs/>
          <w:sz w:val="24"/>
          <w:szCs w:val="24"/>
        </w:rPr>
        <w:t>Contemporary Applications and Integration in Modern Practice</w:t>
      </w:r>
    </w:p>
    <w:p w14:paraId="68A02452">
      <w:pPr>
        <w:pStyle w:val="style0"/>
        <w:spacing w:after="90" w:lineRule="auto" w:line="480"/>
        <w:jc w:val="both"/>
        <w:rPr/>
      </w:pPr>
      <w:r>
        <w:rPr>
          <w:rFonts w:ascii="Times New Roman" w:cs="Times New Roman" w:eastAsia="Times New Roman" w:hAnsi="Times New Roman"/>
          <w:sz w:val="24"/>
          <w:szCs w:val="24"/>
        </w:rPr>
        <w:t>Indigenous materials are already finding their way into formal construction, usually through pilot or niche projects rather than mainstream practice. Interlocking stabilised soil blocks have been used in estate</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scale housing in south</w:t>
      </w:r>
      <w:r>
        <w:rPr>
          <w:rFonts w:ascii="Times New Roman" w:cs="Times New Roman" w:eastAsia="Times New Roman" w:hAnsi="Times New Roman"/>
          <w:sz w:val="24"/>
          <w:szCs w:val="24"/>
          <w:lang w:val="en-US"/>
        </w:rPr>
        <w:t xml:space="preserve"> w</w:t>
      </w:r>
      <w:r>
        <w:rPr>
          <w:rFonts w:ascii="Times New Roman" w:cs="Times New Roman" w:eastAsia="Times New Roman" w:hAnsi="Times New Roman"/>
          <w:sz w:val="24"/>
          <w:szCs w:val="24"/>
        </w:rPr>
        <w:t>estern Nigeria, where cost comparisons continue to favour them over sandcrete (Ibitoye et al., 2023). Architects on Lagos Island have begun re-engaging with mud construction on a project basis, motivated by its ecological and cultural value even where regulatory support remains uneven (Adetoro &amp; Gambo, 2025). Bamboo already appears in scaffolding and informal roofing and is increasingly proposed for ceilings, screens and reinforced panels as treatment methods improve (Aniegbuna &amp; Okolie, 2021). Agricultural</w:t>
      </w:r>
      <w:r>
        <w:rPr>
          <w:rFonts w:ascii="Times New Roman" w:cs="Times New Roman" w:eastAsia="Times New Roman" w:hAnsi="Times New Roman"/>
          <w:sz w:val="24"/>
          <w:szCs w:val="24"/>
          <w:lang w:val="en-US"/>
        </w:rPr>
        <w:t xml:space="preserve"> w</w:t>
      </w:r>
      <w:r>
        <w:rPr>
          <w:rFonts w:ascii="Times New Roman" w:cs="Times New Roman" w:eastAsia="Times New Roman" w:hAnsi="Times New Roman"/>
          <w:sz w:val="24"/>
          <w:szCs w:val="24"/>
        </w:rPr>
        <w:t>aste ash is used mainly at block</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production scale, blended into cement for sandcrete or interlocking blocks (Fapohunda et al., 2021; Raheem &amp; Bello, 2025). Table 3 summarises these applications.</w:t>
      </w:r>
    </w:p>
    <w:p w14:paraId="AAABDDAE">
      <w:pPr>
        <w:pStyle w:val="style0"/>
        <w:spacing w:after="80" w:lineRule="auto" w:line="240"/>
        <w:jc w:val="both"/>
        <w:rPr/>
      </w:pPr>
      <w:r>
        <w:rPr>
          <w:rFonts w:ascii="Times New Roman" w:cs="Times New Roman" w:eastAsia="Times New Roman" w:hAnsi="Times New Roman"/>
          <w:b/>
          <w:bCs/>
          <w:sz w:val="24"/>
          <w:szCs w:val="24"/>
        </w:rPr>
        <w:t>Table 3: Contemporary applications of indigenous materials in Nigerian construction.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100"/>
        <w:gridCol w:w="3400"/>
        <w:gridCol w:w="3700"/>
      </w:tblGrid>
      <w:tr w14:paraId="304CEBD5">
        <w:trPr>
          <w:tblHeader/>
        </w:trPr>
        <w:tc>
          <w:tcPr>
            <w:tcW w:w="2100" w:type="dxa"/>
            <w:tcBorders/>
            <w:shd w:val="clear" w:color="auto" w:fill="d9e2d9"/>
            <w:tcMar>
              <w:top w:w="40" w:type="dxa"/>
              <w:left w:w="60" w:type="dxa"/>
              <w:bottom w:w="40" w:type="dxa"/>
              <w:right w:w="60" w:type="dxa"/>
            </w:tcMar>
            <w:vAlign w:val="center"/>
          </w:tcPr>
          <w:p w14:paraId="447DF977">
            <w:pPr>
              <w:pStyle w:val="style0"/>
              <w:spacing w:after="40" w:lineRule="auto" w:line="240"/>
              <w:jc w:val="center"/>
              <w:rPr/>
            </w:pPr>
            <w:r>
              <w:rPr>
                <w:rFonts w:ascii="Times New Roman" w:cs="Times New Roman" w:eastAsia="Times New Roman" w:hAnsi="Times New Roman"/>
                <w:b/>
                <w:bCs/>
                <w:sz w:val="18"/>
                <w:szCs w:val="18"/>
              </w:rPr>
              <w:t>Material</w:t>
            </w:r>
          </w:p>
        </w:tc>
        <w:tc>
          <w:tcPr>
            <w:tcW w:w="3400" w:type="dxa"/>
            <w:tcBorders/>
            <w:shd w:val="clear" w:color="auto" w:fill="d9e2d9"/>
            <w:tcMar>
              <w:top w:w="40" w:type="dxa"/>
              <w:left w:w="60" w:type="dxa"/>
              <w:bottom w:w="40" w:type="dxa"/>
              <w:right w:w="60" w:type="dxa"/>
            </w:tcMar>
            <w:vAlign w:val="center"/>
          </w:tcPr>
          <w:p w14:paraId="72743361">
            <w:pPr>
              <w:pStyle w:val="style0"/>
              <w:spacing w:after="40" w:lineRule="auto" w:line="240"/>
              <w:jc w:val="center"/>
              <w:rPr/>
            </w:pPr>
            <w:r>
              <w:rPr>
                <w:rFonts w:ascii="Times New Roman" w:cs="Times New Roman" w:eastAsia="Times New Roman" w:hAnsi="Times New Roman"/>
                <w:b/>
                <w:bCs/>
                <w:sz w:val="18"/>
                <w:szCs w:val="18"/>
              </w:rPr>
              <w:t>Application observed</w:t>
            </w:r>
          </w:p>
        </w:tc>
        <w:tc>
          <w:tcPr>
            <w:tcW w:w="0" w:type="auto"/>
            <w:tcBorders/>
            <w:shd w:val="clear" w:color="auto" w:fill="d9e2d9"/>
            <w:tcMar>
              <w:top w:w="40" w:type="dxa"/>
              <w:left w:w="60" w:type="dxa"/>
              <w:bottom w:w="40" w:type="dxa"/>
              <w:right w:w="60" w:type="dxa"/>
            </w:tcMar>
            <w:vAlign w:val="center"/>
          </w:tcPr>
          <w:p w14:paraId="F8713C97">
            <w:pPr>
              <w:pStyle w:val="style0"/>
              <w:spacing w:after="40" w:lineRule="auto" w:line="240"/>
              <w:jc w:val="center"/>
              <w:rPr/>
            </w:pPr>
            <w:r>
              <w:rPr>
                <w:rFonts w:ascii="Times New Roman" w:cs="Times New Roman" w:eastAsia="Times New Roman" w:hAnsi="Times New Roman"/>
                <w:b/>
                <w:bCs/>
                <w:sz w:val="18"/>
                <w:szCs w:val="18"/>
              </w:rPr>
              <w:t>Illustrative context</w:t>
            </w:r>
          </w:p>
        </w:tc>
      </w:tr>
      <w:tr w14:paraId="8EEE751E">
        <w:tblPrEx/>
        <w:trPr/>
        <w:tc>
          <w:tcPr>
            <w:tcW w:w="2100" w:type="dxa"/>
            <w:tcBorders/>
            <w:tcMar>
              <w:top w:w="40" w:type="dxa"/>
              <w:left w:w="60" w:type="dxa"/>
              <w:bottom w:w="40" w:type="dxa"/>
              <w:right w:w="60" w:type="dxa"/>
            </w:tcMar>
            <w:vAlign w:val="center"/>
          </w:tcPr>
          <w:p w14:paraId="D05291DF">
            <w:pPr>
              <w:pStyle w:val="style0"/>
              <w:spacing w:after="40" w:lineRule="auto" w:line="240"/>
              <w:jc w:val="left"/>
              <w:rPr/>
            </w:pPr>
            <w:r>
              <w:rPr>
                <w:rFonts w:ascii="Times New Roman" w:cs="Times New Roman" w:eastAsia="Times New Roman" w:hAnsi="Times New Roman"/>
                <w:b w:val="false"/>
                <w:bCs w:val="false"/>
                <w:sz w:val="18"/>
                <w:szCs w:val="18"/>
              </w:rPr>
              <w:t>Interlocking stabilised soil block</w:t>
            </w:r>
          </w:p>
        </w:tc>
        <w:tc>
          <w:tcPr>
            <w:tcW w:w="3400" w:type="dxa"/>
            <w:tcBorders/>
            <w:tcMar>
              <w:top w:w="40" w:type="dxa"/>
              <w:left w:w="60" w:type="dxa"/>
              <w:bottom w:w="40" w:type="dxa"/>
              <w:right w:w="60" w:type="dxa"/>
            </w:tcMar>
            <w:vAlign w:val="center"/>
          </w:tcPr>
          <w:p w14:paraId="9D26B120">
            <w:pPr>
              <w:pStyle w:val="style0"/>
              <w:spacing w:after="40" w:lineRule="auto" w:line="240"/>
              <w:jc w:val="left"/>
              <w:rPr/>
            </w:pPr>
            <w:r>
              <w:rPr>
                <w:rFonts w:ascii="Times New Roman" w:cs="Times New Roman" w:eastAsia="Times New Roman" w:hAnsi="Times New Roman"/>
                <w:b w:val="false"/>
                <w:bCs w:val="false"/>
                <w:sz w:val="18"/>
                <w:szCs w:val="18"/>
              </w:rPr>
              <w:t>Estate-scale affordable housing</w:t>
            </w:r>
          </w:p>
        </w:tc>
        <w:tc>
          <w:tcPr>
            <w:tcW w:w="3700" w:type="dxa"/>
            <w:tcBorders/>
            <w:tcMar>
              <w:top w:w="40" w:type="dxa"/>
              <w:left w:w="60" w:type="dxa"/>
              <w:bottom w:w="40" w:type="dxa"/>
              <w:right w:w="60" w:type="dxa"/>
            </w:tcMar>
            <w:vAlign w:val="center"/>
          </w:tcPr>
          <w:p w14:paraId="BB652914">
            <w:pPr>
              <w:pStyle w:val="style0"/>
              <w:spacing w:after="40" w:lineRule="auto" w:line="240"/>
              <w:jc w:val="left"/>
              <w:rPr/>
            </w:pPr>
            <w:r>
              <w:rPr>
                <w:rFonts w:ascii="Times New Roman" w:cs="Times New Roman" w:eastAsia="Times New Roman" w:hAnsi="Times New Roman"/>
                <w:b w:val="false"/>
                <w:bCs w:val="false"/>
                <w:sz w:val="18"/>
                <w:szCs w:val="18"/>
              </w:rPr>
              <w:t>South-western Nigeria housing estates (Ibitoye et al., 2023)</w:t>
            </w:r>
          </w:p>
        </w:tc>
      </w:tr>
      <w:tr w14:paraId="733A7D94">
        <w:tblPrEx/>
        <w:trPr/>
        <w:tc>
          <w:tcPr>
            <w:tcW w:w="2100" w:type="dxa"/>
            <w:tcBorders/>
            <w:tcMar>
              <w:top w:w="40" w:type="dxa"/>
              <w:left w:w="60" w:type="dxa"/>
              <w:bottom w:w="40" w:type="dxa"/>
              <w:right w:w="60" w:type="dxa"/>
            </w:tcMar>
            <w:vAlign w:val="center"/>
          </w:tcPr>
          <w:p w14:paraId="F1C731C1">
            <w:pPr>
              <w:pStyle w:val="style0"/>
              <w:spacing w:after="40" w:lineRule="auto" w:line="240"/>
              <w:jc w:val="left"/>
              <w:rPr/>
            </w:pPr>
            <w:r>
              <w:rPr>
                <w:rFonts w:ascii="Times New Roman" w:cs="Times New Roman" w:eastAsia="Times New Roman" w:hAnsi="Times New Roman"/>
                <w:b w:val="false"/>
                <w:bCs w:val="false"/>
                <w:sz w:val="18"/>
                <w:szCs w:val="18"/>
              </w:rPr>
              <w:t>Mud/rammed earth</w:t>
            </w:r>
          </w:p>
        </w:tc>
        <w:tc>
          <w:tcPr>
            <w:tcW w:w="3400" w:type="dxa"/>
            <w:tcBorders/>
            <w:tcMar>
              <w:top w:w="40" w:type="dxa"/>
              <w:left w:w="60" w:type="dxa"/>
              <w:bottom w:w="40" w:type="dxa"/>
              <w:right w:w="60" w:type="dxa"/>
            </w:tcMar>
            <w:vAlign w:val="center"/>
          </w:tcPr>
          <w:p w14:paraId="D30DC9CA">
            <w:pPr>
              <w:pStyle w:val="style0"/>
              <w:spacing w:after="40" w:lineRule="auto" w:line="240"/>
              <w:jc w:val="left"/>
              <w:rPr/>
            </w:pPr>
            <w:r>
              <w:rPr>
                <w:rFonts w:ascii="Times New Roman" w:cs="Times New Roman" w:eastAsia="Times New Roman" w:hAnsi="Times New Roman"/>
                <w:b w:val="false"/>
                <w:bCs w:val="false"/>
                <w:sz w:val="18"/>
                <w:szCs w:val="18"/>
              </w:rPr>
              <w:t>Project-based professional re-engagement with mud walling</w:t>
            </w:r>
          </w:p>
        </w:tc>
        <w:tc>
          <w:tcPr>
            <w:tcW w:w="3700" w:type="dxa"/>
            <w:tcBorders/>
            <w:tcMar>
              <w:top w:w="40" w:type="dxa"/>
              <w:left w:w="60" w:type="dxa"/>
              <w:bottom w:w="40" w:type="dxa"/>
              <w:right w:w="60" w:type="dxa"/>
            </w:tcMar>
            <w:vAlign w:val="center"/>
          </w:tcPr>
          <w:p w14:paraId="71AF4199">
            <w:pPr>
              <w:pStyle w:val="style0"/>
              <w:spacing w:after="40" w:lineRule="auto" w:line="240"/>
              <w:jc w:val="left"/>
              <w:rPr/>
            </w:pPr>
            <w:r>
              <w:rPr>
                <w:rFonts w:ascii="Times New Roman" w:cs="Times New Roman" w:eastAsia="Times New Roman" w:hAnsi="Times New Roman"/>
                <w:b w:val="false"/>
                <w:bCs w:val="false"/>
                <w:sz w:val="18"/>
                <w:szCs w:val="18"/>
              </w:rPr>
              <w:t>Architectural practice on Lagos Island (Adetoro &amp; Gambo, 2025)</w:t>
            </w:r>
          </w:p>
        </w:tc>
      </w:tr>
      <w:tr w14:paraId="F2230580">
        <w:tblPrEx/>
        <w:trPr/>
        <w:tc>
          <w:tcPr>
            <w:tcW w:w="2100" w:type="dxa"/>
            <w:tcBorders/>
            <w:tcMar>
              <w:top w:w="40" w:type="dxa"/>
              <w:left w:w="60" w:type="dxa"/>
              <w:bottom w:w="40" w:type="dxa"/>
              <w:right w:w="60" w:type="dxa"/>
            </w:tcMar>
            <w:vAlign w:val="center"/>
          </w:tcPr>
          <w:p w14:paraId="DF6EDC1A">
            <w:pPr>
              <w:pStyle w:val="style0"/>
              <w:spacing w:after="40" w:lineRule="auto" w:line="240"/>
              <w:jc w:val="left"/>
              <w:rPr/>
            </w:pPr>
            <w:r>
              <w:rPr>
                <w:rFonts w:ascii="Times New Roman" w:cs="Times New Roman" w:eastAsia="Times New Roman" w:hAnsi="Times New Roman"/>
                <w:b w:val="false"/>
                <w:bCs w:val="false"/>
                <w:sz w:val="18"/>
                <w:szCs w:val="18"/>
              </w:rPr>
              <w:t>Bamboo</w:t>
            </w:r>
          </w:p>
        </w:tc>
        <w:tc>
          <w:tcPr>
            <w:tcW w:w="3400" w:type="dxa"/>
            <w:tcBorders/>
            <w:tcMar>
              <w:top w:w="40" w:type="dxa"/>
              <w:left w:w="60" w:type="dxa"/>
              <w:bottom w:w="40" w:type="dxa"/>
              <w:right w:w="60" w:type="dxa"/>
            </w:tcMar>
            <w:vAlign w:val="center"/>
          </w:tcPr>
          <w:p w14:paraId="FB364096">
            <w:pPr>
              <w:pStyle w:val="style0"/>
              <w:spacing w:after="40" w:lineRule="auto" w:line="240"/>
              <w:jc w:val="left"/>
              <w:rPr/>
            </w:pPr>
            <w:r>
              <w:rPr>
                <w:rFonts w:ascii="Times New Roman" w:cs="Times New Roman" w:eastAsia="Times New Roman" w:hAnsi="Times New Roman"/>
                <w:b w:val="false"/>
                <w:bCs w:val="false"/>
                <w:sz w:val="18"/>
                <w:szCs w:val="18"/>
              </w:rPr>
              <w:t>Scaffolding, roofing members, ceilings, emerging reinforced panels</w:t>
            </w:r>
          </w:p>
        </w:tc>
        <w:tc>
          <w:tcPr>
            <w:tcW w:w="3700" w:type="dxa"/>
            <w:tcBorders/>
            <w:tcMar>
              <w:top w:w="40" w:type="dxa"/>
              <w:left w:w="60" w:type="dxa"/>
              <w:bottom w:w="40" w:type="dxa"/>
              <w:right w:w="60" w:type="dxa"/>
            </w:tcMar>
            <w:vAlign w:val="center"/>
          </w:tcPr>
          <w:p w14:paraId="EE7B9498">
            <w:pPr>
              <w:pStyle w:val="style0"/>
              <w:spacing w:after="40" w:lineRule="auto" w:line="240"/>
              <w:jc w:val="left"/>
              <w:rPr/>
            </w:pPr>
            <w:r>
              <w:rPr>
                <w:rFonts w:ascii="Times New Roman" w:cs="Times New Roman" w:eastAsia="Times New Roman" w:hAnsi="Times New Roman"/>
                <w:b w:val="false"/>
                <w:bCs w:val="false"/>
                <w:sz w:val="18"/>
                <w:szCs w:val="18"/>
              </w:rPr>
              <w:t>South-eastern Nigeria construction sites (Aniegbuna &amp; Okolie, 2021)</w:t>
            </w:r>
          </w:p>
        </w:tc>
      </w:tr>
      <w:tr w14:paraId="368605E0">
        <w:tblPrEx/>
        <w:trPr/>
        <w:tc>
          <w:tcPr>
            <w:tcW w:w="2100" w:type="dxa"/>
            <w:tcBorders/>
            <w:tcMar>
              <w:top w:w="40" w:type="dxa"/>
              <w:left w:w="60" w:type="dxa"/>
              <w:bottom w:w="40" w:type="dxa"/>
              <w:right w:w="60" w:type="dxa"/>
            </w:tcMar>
            <w:vAlign w:val="center"/>
          </w:tcPr>
          <w:p w14:paraId="ABF08A0E">
            <w:pPr>
              <w:pStyle w:val="style0"/>
              <w:spacing w:after="40" w:lineRule="auto" w:line="240"/>
              <w:jc w:val="left"/>
              <w:rPr/>
            </w:pPr>
            <w:r>
              <w:rPr>
                <w:rFonts w:ascii="Times New Roman" w:cs="Times New Roman" w:eastAsia="Times New Roman" w:hAnsi="Times New Roman"/>
                <w:b w:val="false"/>
                <w:bCs w:val="false"/>
                <w:sz w:val="18"/>
                <w:szCs w:val="18"/>
              </w:rPr>
              <w:t>Agricultural-waste ash</w:t>
            </w:r>
          </w:p>
        </w:tc>
        <w:tc>
          <w:tcPr>
            <w:tcW w:w="3400" w:type="dxa"/>
            <w:tcBorders/>
            <w:tcMar>
              <w:top w:w="40" w:type="dxa"/>
              <w:left w:w="60" w:type="dxa"/>
              <w:bottom w:w="40" w:type="dxa"/>
              <w:right w:w="60" w:type="dxa"/>
            </w:tcMar>
            <w:vAlign w:val="center"/>
          </w:tcPr>
          <w:p w14:paraId="DFB076CC">
            <w:pPr>
              <w:pStyle w:val="style0"/>
              <w:spacing w:after="40" w:lineRule="auto" w:line="240"/>
              <w:jc w:val="left"/>
              <w:rPr/>
            </w:pPr>
            <w:r>
              <w:rPr>
                <w:rFonts w:ascii="Times New Roman" w:cs="Times New Roman" w:eastAsia="Times New Roman" w:hAnsi="Times New Roman"/>
                <w:b w:val="false"/>
                <w:bCs w:val="false"/>
                <w:sz w:val="18"/>
                <w:szCs w:val="18"/>
              </w:rPr>
              <w:t>Partial cement replacement in block and mortar production</w:t>
            </w:r>
          </w:p>
        </w:tc>
        <w:tc>
          <w:tcPr>
            <w:tcW w:w="3700" w:type="dxa"/>
            <w:tcBorders/>
            <w:tcMar>
              <w:top w:w="40" w:type="dxa"/>
              <w:left w:w="60" w:type="dxa"/>
              <w:bottom w:w="40" w:type="dxa"/>
              <w:right w:w="60" w:type="dxa"/>
            </w:tcMar>
            <w:vAlign w:val="center"/>
          </w:tcPr>
          <w:p w14:paraId="27ADCC8A">
            <w:pPr>
              <w:pStyle w:val="style0"/>
              <w:spacing w:after="40" w:lineRule="auto" w:line="240"/>
              <w:jc w:val="left"/>
              <w:rPr/>
            </w:pPr>
            <w:r>
              <w:rPr>
                <w:rFonts w:ascii="Times New Roman" w:cs="Times New Roman" w:eastAsia="Times New Roman" w:hAnsi="Times New Roman"/>
                <w:b w:val="false"/>
                <w:bCs w:val="false"/>
                <w:sz w:val="18"/>
                <w:szCs w:val="18"/>
              </w:rPr>
              <w:t>Sandcrete and interlocking block manufacture (Fapohunda et al., 2021)</w:t>
            </w:r>
          </w:p>
        </w:tc>
      </w:tr>
    </w:tbl>
    <w:p w14:paraId="4542EBAC">
      <w:pPr>
        <w:pStyle w:val="style0"/>
        <w:spacing w:after="140"/>
        <w:rPr/>
      </w:pPr>
    </w:p>
    <w:p w14:paraId="B8E95070">
      <w:pPr>
        <w:pStyle w:val="style0"/>
        <w:spacing w:before="180" w:after="100" w:lineRule="auto" w:line="480"/>
        <w:rPr/>
      </w:pPr>
      <w:r>
        <w:rPr>
          <w:rFonts w:ascii="Times New Roman" w:cs="Times New Roman" w:eastAsia="Times New Roman" w:hAnsi="Times New Roman"/>
          <w:b/>
          <w:bCs/>
          <w:i/>
          <w:iCs/>
          <w:sz w:val="24"/>
          <w:szCs w:val="24"/>
        </w:rPr>
        <w:t>Barriers to Mainstream Adoption</w:t>
      </w:r>
    </w:p>
    <w:p w14:paraId="29D08E95">
      <w:pPr>
        <w:pStyle w:val="style0"/>
        <w:spacing w:after="90" w:lineRule="auto" w:line="480"/>
        <w:jc w:val="both"/>
        <w:rPr/>
      </w:pPr>
      <w:r>
        <w:rPr>
          <w:rFonts w:ascii="Times New Roman" w:cs="Times New Roman" w:eastAsia="Times New Roman" w:hAnsi="Times New Roman"/>
          <w:sz w:val="24"/>
          <w:szCs w:val="24"/>
        </w:rPr>
        <w:t>Despite favourable cost and environmental performance, indigenous materials face barriers that are more professional and institutional than technical. Architects frequently doubt the durability of earth-based construction, a scepticism that persists even where improved stabilisation techniques address the underlying concern (Adetoro &amp; Gambo, 2025). Formal building codes rarely give indigenous materials the same standing as cement</w:t>
      </w:r>
      <w:r>
        <w:rPr>
          <w:rFonts w:ascii="Times New Roman" w:cs="Times New Roman" w:eastAsia="Times New Roman" w:hAnsi="Times New Roman"/>
          <w:sz w:val="24"/>
          <w:szCs w:val="24"/>
          <w:lang w:val="en-US"/>
        </w:rPr>
        <w:t xml:space="preserve"> ba</w:t>
      </w:r>
      <w:r>
        <w:rPr>
          <w:rFonts w:ascii="Times New Roman" w:cs="Times New Roman" w:eastAsia="Times New Roman" w:hAnsi="Times New Roman"/>
          <w:sz w:val="24"/>
          <w:szCs w:val="24"/>
        </w:rPr>
        <w:t>sed systems, discouraging specification on regulated projects, while skilled artisanship in traditional finishing is thinning, as documented among Igbo builders whose plastering practices are being displaced by imported alternatives (Onuorah et al., 2022). Table 4 sets out these barriers alongside possible responses.</w:t>
      </w:r>
    </w:p>
    <w:p w14:paraId="6B6236BE">
      <w:pPr>
        <w:pStyle w:val="style0"/>
        <w:spacing w:after="80" w:lineRule="auto" w:line="240"/>
        <w:jc w:val="both"/>
        <w:rPr/>
      </w:pPr>
      <w:r>
        <w:rPr>
          <w:rFonts w:ascii="Times New Roman" w:cs="Times New Roman" w:eastAsia="Times New Roman" w:hAnsi="Times New Roman"/>
          <w:b/>
          <w:bCs/>
          <w:sz w:val="24"/>
          <w:szCs w:val="24"/>
        </w:rPr>
        <w:t>Table 4: Barriers to the mainstream adoption of indigenous materials and proposed responses.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00"/>
        <w:gridCol w:w="3300"/>
        <w:gridCol w:w="3700"/>
      </w:tblGrid>
      <w:tr w14:paraId="5D23DB1F">
        <w:trPr>
          <w:tblHeader/>
        </w:trPr>
        <w:tc>
          <w:tcPr>
            <w:tcW w:w="2200" w:type="dxa"/>
            <w:tcBorders/>
            <w:shd w:val="clear" w:color="auto" w:fill="d9e2d9"/>
            <w:tcMar>
              <w:top w:w="40" w:type="dxa"/>
              <w:left w:w="60" w:type="dxa"/>
              <w:bottom w:w="40" w:type="dxa"/>
              <w:right w:w="60" w:type="dxa"/>
            </w:tcMar>
            <w:vAlign w:val="center"/>
          </w:tcPr>
          <w:p w14:paraId="3A1B932F">
            <w:pPr>
              <w:pStyle w:val="style0"/>
              <w:spacing w:after="40" w:lineRule="auto" w:line="240"/>
              <w:jc w:val="center"/>
              <w:rPr/>
            </w:pPr>
            <w:r>
              <w:rPr>
                <w:rFonts w:ascii="Times New Roman" w:cs="Times New Roman" w:eastAsia="Times New Roman" w:hAnsi="Times New Roman"/>
                <w:b/>
                <w:bCs/>
                <w:sz w:val="18"/>
                <w:szCs w:val="18"/>
              </w:rPr>
              <w:t>Barrier</w:t>
            </w:r>
          </w:p>
        </w:tc>
        <w:tc>
          <w:tcPr>
            <w:tcW w:w="3300" w:type="dxa"/>
            <w:tcBorders/>
            <w:shd w:val="clear" w:color="auto" w:fill="d9e2d9"/>
            <w:tcMar>
              <w:top w:w="40" w:type="dxa"/>
              <w:left w:w="60" w:type="dxa"/>
              <w:bottom w:w="40" w:type="dxa"/>
              <w:right w:w="60" w:type="dxa"/>
            </w:tcMar>
            <w:vAlign w:val="center"/>
          </w:tcPr>
          <w:p w14:paraId="F25205F7">
            <w:pPr>
              <w:pStyle w:val="style0"/>
              <w:spacing w:after="40" w:lineRule="auto" w:line="240"/>
              <w:jc w:val="center"/>
              <w:rPr/>
            </w:pPr>
            <w:r>
              <w:rPr>
                <w:rFonts w:ascii="Times New Roman" w:cs="Times New Roman" w:eastAsia="Times New Roman" w:hAnsi="Times New Roman"/>
                <w:b/>
                <w:bCs/>
                <w:sz w:val="18"/>
                <w:szCs w:val="18"/>
              </w:rPr>
              <w:t>How it limits adoption</w:t>
            </w:r>
          </w:p>
        </w:tc>
        <w:tc>
          <w:tcPr>
            <w:tcW w:w="0" w:type="auto"/>
            <w:tcBorders/>
            <w:shd w:val="clear" w:color="auto" w:fill="d9e2d9"/>
            <w:tcMar>
              <w:top w:w="40" w:type="dxa"/>
              <w:left w:w="60" w:type="dxa"/>
              <w:bottom w:w="40" w:type="dxa"/>
              <w:right w:w="60" w:type="dxa"/>
            </w:tcMar>
            <w:vAlign w:val="center"/>
          </w:tcPr>
          <w:p w14:paraId="087CA9A2">
            <w:pPr>
              <w:pStyle w:val="style0"/>
              <w:spacing w:after="40" w:lineRule="auto" w:line="240"/>
              <w:jc w:val="center"/>
              <w:rPr/>
            </w:pPr>
            <w:r>
              <w:rPr>
                <w:rFonts w:ascii="Times New Roman" w:cs="Times New Roman" w:eastAsia="Times New Roman" w:hAnsi="Times New Roman"/>
                <w:b/>
                <w:bCs/>
                <w:sz w:val="18"/>
                <w:szCs w:val="18"/>
              </w:rPr>
              <w:t>Recommended response</w:t>
            </w:r>
          </w:p>
        </w:tc>
      </w:tr>
      <w:tr w14:paraId="CF3E3430">
        <w:tblPrEx/>
        <w:trPr/>
        <w:tc>
          <w:tcPr>
            <w:tcW w:w="2200" w:type="dxa"/>
            <w:tcBorders/>
            <w:tcMar>
              <w:top w:w="40" w:type="dxa"/>
              <w:left w:w="60" w:type="dxa"/>
              <w:bottom w:w="40" w:type="dxa"/>
              <w:right w:w="60" w:type="dxa"/>
            </w:tcMar>
            <w:vAlign w:val="center"/>
          </w:tcPr>
          <w:p w14:paraId="3187D32E">
            <w:pPr>
              <w:pStyle w:val="style0"/>
              <w:spacing w:after="40" w:lineRule="auto" w:line="240"/>
              <w:jc w:val="left"/>
              <w:rPr/>
            </w:pPr>
            <w:r>
              <w:rPr>
                <w:rFonts w:ascii="Times New Roman" w:cs="Times New Roman" w:eastAsia="Times New Roman" w:hAnsi="Times New Roman"/>
                <w:b w:val="false"/>
                <w:bCs w:val="false"/>
                <w:sz w:val="18"/>
                <w:szCs w:val="18"/>
              </w:rPr>
              <w:t>Durability scepticism</w:t>
            </w:r>
          </w:p>
        </w:tc>
        <w:tc>
          <w:tcPr>
            <w:tcW w:w="3300" w:type="dxa"/>
            <w:tcBorders/>
            <w:tcMar>
              <w:top w:w="40" w:type="dxa"/>
              <w:left w:w="60" w:type="dxa"/>
              <w:bottom w:w="40" w:type="dxa"/>
              <w:right w:w="60" w:type="dxa"/>
            </w:tcMar>
            <w:vAlign w:val="center"/>
          </w:tcPr>
          <w:p w14:paraId="107C7D8C">
            <w:pPr>
              <w:pStyle w:val="style0"/>
              <w:spacing w:after="40" w:lineRule="auto" w:line="240"/>
              <w:jc w:val="left"/>
              <w:rPr/>
            </w:pPr>
            <w:r>
              <w:rPr>
                <w:rFonts w:ascii="Times New Roman" w:cs="Times New Roman" w:eastAsia="Times New Roman" w:hAnsi="Times New Roman"/>
                <w:b w:val="false"/>
                <w:bCs w:val="false"/>
                <w:sz w:val="18"/>
                <w:szCs w:val="18"/>
              </w:rPr>
              <w:t>Architects and clients doubt long-term performance of earth and plant-based walling</w:t>
            </w:r>
          </w:p>
        </w:tc>
        <w:tc>
          <w:tcPr>
            <w:tcW w:w="3700" w:type="dxa"/>
            <w:tcBorders/>
            <w:tcMar>
              <w:top w:w="40" w:type="dxa"/>
              <w:left w:w="60" w:type="dxa"/>
              <w:bottom w:w="40" w:type="dxa"/>
              <w:right w:w="60" w:type="dxa"/>
            </w:tcMar>
            <w:vAlign w:val="center"/>
          </w:tcPr>
          <w:p w14:paraId="647AE88D">
            <w:pPr>
              <w:pStyle w:val="style0"/>
              <w:spacing w:after="40" w:lineRule="auto" w:line="240"/>
              <w:jc w:val="left"/>
              <w:rPr/>
            </w:pPr>
            <w:r>
              <w:rPr>
                <w:rFonts w:ascii="Times New Roman" w:cs="Times New Roman" w:eastAsia="Times New Roman" w:hAnsi="Times New Roman"/>
                <w:b w:val="false"/>
                <w:bCs w:val="false"/>
                <w:sz w:val="18"/>
                <w:szCs w:val="18"/>
              </w:rPr>
              <w:t>Demonstration buildings, published performance data, updated professional training</w:t>
            </w:r>
          </w:p>
        </w:tc>
      </w:tr>
      <w:tr w14:paraId="15C84DB7">
        <w:tblPrEx/>
        <w:trPr/>
        <w:tc>
          <w:tcPr>
            <w:tcW w:w="2200" w:type="dxa"/>
            <w:tcBorders/>
            <w:tcMar>
              <w:top w:w="40" w:type="dxa"/>
              <w:left w:w="60" w:type="dxa"/>
              <w:bottom w:w="40" w:type="dxa"/>
              <w:right w:w="60" w:type="dxa"/>
            </w:tcMar>
            <w:vAlign w:val="center"/>
          </w:tcPr>
          <w:p w14:paraId="30A745D1">
            <w:pPr>
              <w:pStyle w:val="style0"/>
              <w:spacing w:after="40" w:lineRule="auto" w:line="240"/>
              <w:jc w:val="left"/>
              <w:rPr/>
            </w:pPr>
            <w:r>
              <w:rPr>
                <w:rFonts w:ascii="Times New Roman" w:cs="Times New Roman" w:eastAsia="Times New Roman" w:hAnsi="Times New Roman"/>
                <w:b w:val="false"/>
                <w:bCs w:val="false"/>
                <w:sz w:val="18"/>
                <w:szCs w:val="18"/>
              </w:rPr>
              <w:t>Weak code recognition</w:t>
            </w:r>
          </w:p>
        </w:tc>
        <w:tc>
          <w:tcPr>
            <w:tcW w:w="3300" w:type="dxa"/>
            <w:tcBorders/>
            <w:tcMar>
              <w:top w:w="40" w:type="dxa"/>
              <w:left w:w="60" w:type="dxa"/>
              <w:bottom w:w="40" w:type="dxa"/>
              <w:right w:w="60" w:type="dxa"/>
            </w:tcMar>
            <w:vAlign w:val="center"/>
          </w:tcPr>
          <w:p w14:paraId="706015FE">
            <w:pPr>
              <w:pStyle w:val="style0"/>
              <w:spacing w:after="40" w:lineRule="auto" w:line="240"/>
              <w:jc w:val="left"/>
              <w:rPr/>
            </w:pPr>
            <w:r>
              <w:rPr>
                <w:rFonts w:ascii="Times New Roman" w:cs="Times New Roman" w:eastAsia="Times New Roman" w:hAnsi="Times New Roman"/>
                <w:b w:val="false"/>
                <w:bCs w:val="false"/>
                <w:sz w:val="18"/>
                <w:szCs w:val="18"/>
              </w:rPr>
              <w:t>Building regulations rarely specify or test indigenous materials</w:t>
            </w:r>
          </w:p>
        </w:tc>
        <w:tc>
          <w:tcPr>
            <w:tcW w:w="3700" w:type="dxa"/>
            <w:tcBorders/>
            <w:tcMar>
              <w:top w:w="40" w:type="dxa"/>
              <w:left w:w="60" w:type="dxa"/>
              <w:bottom w:w="40" w:type="dxa"/>
              <w:right w:w="60" w:type="dxa"/>
            </w:tcMar>
            <w:vAlign w:val="center"/>
          </w:tcPr>
          <w:p w14:paraId="1D7C6C7B">
            <w:pPr>
              <w:pStyle w:val="style0"/>
              <w:spacing w:after="40" w:lineRule="auto" w:line="240"/>
              <w:jc w:val="left"/>
              <w:rPr/>
            </w:pPr>
            <w:r>
              <w:rPr>
                <w:rFonts w:ascii="Times New Roman" w:cs="Times New Roman" w:eastAsia="Times New Roman" w:hAnsi="Times New Roman"/>
                <w:b w:val="false"/>
                <w:bCs w:val="false"/>
                <w:sz w:val="18"/>
                <w:szCs w:val="18"/>
              </w:rPr>
              <w:t>Develop national testing standards for stabilised earth and bamboo systems</w:t>
            </w:r>
          </w:p>
        </w:tc>
      </w:tr>
      <w:tr w14:paraId="F374CFCC">
        <w:tblPrEx/>
        <w:trPr/>
        <w:tc>
          <w:tcPr>
            <w:tcW w:w="2200" w:type="dxa"/>
            <w:tcBorders/>
            <w:tcMar>
              <w:top w:w="40" w:type="dxa"/>
              <w:left w:w="60" w:type="dxa"/>
              <w:bottom w:w="40" w:type="dxa"/>
              <w:right w:w="60" w:type="dxa"/>
            </w:tcMar>
            <w:vAlign w:val="center"/>
          </w:tcPr>
          <w:p w14:paraId="4D59BEE8">
            <w:pPr>
              <w:pStyle w:val="style0"/>
              <w:spacing w:after="40" w:lineRule="auto" w:line="240"/>
              <w:jc w:val="left"/>
              <w:rPr/>
            </w:pPr>
            <w:r>
              <w:rPr>
                <w:rFonts w:ascii="Times New Roman" w:cs="Times New Roman" w:eastAsia="Times New Roman" w:hAnsi="Times New Roman"/>
                <w:b w:val="false"/>
                <w:bCs w:val="false"/>
                <w:sz w:val="18"/>
                <w:szCs w:val="18"/>
              </w:rPr>
              <w:t>Declining artisan skills</w:t>
            </w:r>
          </w:p>
        </w:tc>
        <w:tc>
          <w:tcPr>
            <w:tcW w:w="3300" w:type="dxa"/>
            <w:tcBorders/>
            <w:tcMar>
              <w:top w:w="40" w:type="dxa"/>
              <w:left w:w="60" w:type="dxa"/>
              <w:bottom w:w="40" w:type="dxa"/>
              <w:right w:w="60" w:type="dxa"/>
            </w:tcMar>
            <w:vAlign w:val="center"/>
          </w:tcPr>
          <w:p w14:paraId="9384A25F">
            <w:pPr>
              <w:pStyle w:val="style0"/>
              <w:spacing w:after="40" w:lineRule="auto" w:line="240"/>
              <w:jc w:val="left"/>
              <w:rPr/>
            </w:pPr>
            <w:r>
              <w:rPr>
                <w:rFonts w:ascii="Times New Roman" w:cs="Times New Roman" w:eastAsia="Times New Roman" w:hAnsi="Times New Roman"/>
                <w:b w:val="false"/>
                <w:bCs w:val="false"/>
                <w:sz w:val="18"/>
                <w:szCs w:val="18"/>
              </w:rPr>
              <w:t>Traditional finishing and construction techniques are disappearing</w:t>
            </w:r>
          </w:p>
        </w:tc>
        <w:tc>
          <w:tcPr>
            <w:tcW w:w="3700" w:type="dxa"/>
            <w:tcBorders/>
            <w:tcMar>
              <w:top w:w="40" w:type="dxa"/>
              <w:left w:w="60" w:type="dxa"/>
              <w:bottom w:w="40" w:type="dxa"/>
              <w:right w:w="60" w:type="dxa"/>
            </w:tcMar>
            <w:vAlign w:val="center"/>
          </w:tcPr>
          <w:p w14:paraId="37503C56">
            <w:pPr>
              <w:pStyle w:val="style0"/>
              <w:spacing w:after="40" w:lineRule="auto" w:line="240"/>
              <w:jc w:val="left"/>
              <w:rPr/>
            </w:pPr>
            <w:r>
              <w:rPr>
                <w:rFonts w:ascii="Times New Roman" w:cs="Times New Roman" w:eastAsia="Times New Roman" w:hAnsi="Times New Roman"/>
                <w:b w:val="false"/>
                <w:bCs w:val="false"/>
                <w:sz w:val="18"/>
                <w:szCs w:val="18"/>
              </w:rPr>
              <w:t>Apprenticeship schemes and curriculum inclusion in built-environment programmes</w:t>
            </w:r>
          </w:p>
        </w:tc>
      </w:tr>
      <w:tr w14:paraId="46232258">
        <w:tblPrEx/>
        <w:trPr/>
        <w:tc>
          <w:tcPr>
            <w:tcW w:w="2200" w:type="dxa"/>
            <w:tcBorders/>
            <w:tcMar>
              <w:top w:w="40" w:type="dxa"/>
              <w:left w:w="60" w:type="dxa"/>
              <w:bottom w:w="40" w:type="dxa"/>
              <w:right w:w="60" w:type="dxa"/>
            </w:tcMar>
            <w:vAlign w:val="center"/>
          </w:tcPr>
          <w:p w14:paraId="D46ED146">
            <w:pPr>
              <w:pStyle w:val="style0"/>
              <w:spacing w:after="40" w:lineRule="auto" w:line="240"/>
              <w:jc w:val="left"/>
              <w:rPr/>
            </w:pPr>
            <w:r>
              <w:rPr>
                <w:rFonts w:ascii="Times New Roman" w:cs="Times New Roman" w:eastAsia="Times New Roman" w:hAnsi="Times New Roman"/>
                <w:b w:val="false"/>
                <w:bCs w:val="false"/>
                <w:sz w:val="18"/>
                <w:szCs w:val="18"/>
              </w:rPr>
              <w:t>Limited production scale</w:t>
            </w:r>
          </w:p>
        </w:tc>
        <w:tc>
          <w:tcPr>
            <w:tcW w:w="3300" w:type="dxa"/>
            <w:tcBorders/>
            <w:tcMar>
              <w:top w:w="40" w:type="dxa"/>
              <w:left w:w="60" w:type="dxa"/>
              <w:bottom w:w="40" w:type="dxa"/>
              <w:right w:w="60" w:type="dxa"/>
            </w:tcMar>
            <w:vAlign w:val="center"/>
          </w:tcPr>
          <w:p w14:paraId="CB765B00">
            <w:pPr>
              <w:pStyle w:val="style0"/>
              <w:spacing w:after="40" w:lineRule="auto" w:line="240"/>
              <w:jc w:val="left"/>
              <w:rPr/>
            </w:pPr>
            <w:r>
              <w:rPr>
                <w:rFonts w:ascii="Times New Roman" w:cs="Times New Roman" w:eastAsia="Times New Roman" w:hAnsi="Times New Roman"/>
                <w:b w:val="false"/>
                <w:bCs w:val="false"/>
                <w:sz w:val="18"/>
                <w:szCs w:val="18"/>
              </w:rPr>
              <w:t>Ash-based pozzolans and treated bamboo remain small-scale or informal</w:t>
            </w:r>
          </w:p>
        </w:tc>
        <w:tc>
          <w:tcPr>
            <w:tcW w:w="3700" w:type="dxa"/>
            <w:tcBorders/>
            <w:tcMar>
              <w:top w:w="40" w:type="dxa"/>
              <w:left w:w="60" w:type="dxa"/>
              <w:bottom w:w="40" w:type="dxa"/>
              <w:right w:w="60" w:type="dxa"/>
            </w:tcMar>
            <w:vAlign w:val="center"/>
          </w:tcPr>
          <w:p w14:paraId="F912DBC0">
            <w:pPr>
              <w:pStyle w:val="style0"/>
              <w:spacing w:after="40" w:lineRule="auto" w:line="240"/>
              <w:jc w:val="left"/>
              <w:rPr/>
            </w:pPr>
            <w:r>
              <w:rPr>
                <w:rFonts w:ascii="Times New Roman" w:cs="Times New Roman" w:eastAsia="Times New Roman" w:hAnsi="Times New Roman"/>
                <w:b w:val="false"/>
                <w:bCs w:val="false"/>
                <w:sz w:val="18"/>
                <w:szCs w:val="18"/>
              </w:rPr>
              <w:t>Grants and incentives for block-manufacturing and treatment enterprises</w:t>
            </w:r>
          </w:p>
        </w:tc>
      </w:tr>
      <w:tr w14:paraId="06D9E173">
        <w:tblPrEx/>
        <w:trPr/>
        <w:tc>
          <w:tcPr>
            <w:tcW w:w="2200" w:type="dxa"/>
            <w:tcBorders/>
            <w:tcMar>
              <w:top w:w="40" w:type="dxa"/>
              <w:left w:w="60" w:type="dxa"/>
              <w:bottom w:w="40" w:type="dxa"/>
              <w:right w:w="60" w:type="dxa"/>
            </w:tcMar>
            <w:vAlign w:val="center"/>
          </w:tcPr>
          <w:p w14:paraId="9A31B15C">
            <w:pPr>
              <w:pStyle w:val="style0"/>
              <w:spacing w:after="40" w:lineRule="auto" w:line="240"/>
              <w:jc w:val="left"/>
              <w:rPr/>
            </w:pPr>
            <w:r>
              <w:rPr>
                <w:rFonts w:ascii="Times New Roman" w:cs="Times New Roman" w:eastAsia="Times New Roman" w:hAnsi="Times New Roman"/>
                <w:b w:val="false"/>
                <w:bCs w:val="false"/>
                <w:sz w:val="18"/>
                <w:szCs w:val="18"/>
              </w:rPr>
              <w:t>Cultural perception</w:t>
            </w:r>
          </w:p>
        </w:tc>
        <w:tc>
          <w:tcPr>
            <w:tcW w:w="3300" w:type="dxa"/>
            <w:tcBorders/>
            <w:tcMar>
              <w:top w:w="40" w:type="dxa"/>
              <w:left w:w="60" w:type="dxa"/>
              <w:bottom w:w="40" w:type="dxa"/>
              <w:right w:w="60" w:type="dxa"/>
            </w:tcMar>
            <w:vAlign w:val="center"/>
          </w:tcPr>
          <w:p w14:paraId="8A303D10">
            <w:pPr>
              <w:pStyle w:val="style0"/>
              <w:spacing w:after="40" w:lineRule="auto" w:line="240"/>
              <w:jc w:val="left"/>
              <w:rPr/>
            </w:pPr>
            <w:r>
              <w:rPr>
                <w:rFonts w:ascii="Times New Roman" w:cs="Times New Roman" w:eastAsia="Times New Roman" w:hAnsi="Times New Roman"/>
                <w:b w:val="false"/>
                <w:bCs w:val="false"/>
                <w:sz w:val="18"/>
                <w:szCs w:val="18"/>
              </w:rPr>
              <w:t>Indigenous materials are associated with poverty rather than sustainability</w:t>
            </w:r>
          </w:p>
        </w:tc>
        <w:tc>
          <w:tcPr>
            <w:tcW w:w="3700" w:type="dxa"/>
            <w:tcBorders/>
            <w:tcMar>
              <w:top w:w="40" w:type="dxa"/>
              <w:left w:w="60" w:type="dxa"/>
              <w:bottom w:w="40" w:type="dxa"/>
              <w:right w:w="60" w:type="dxa"/>
            </w:tcMar>
            <w:vAlign w:val="center"/>
          </w:tcPr>
          <w:p w14:paraId="6F793B78">
            <w:pPr>
              <w:pStyle w:val="style0"/>
              <w:spacing w:after="40" w:lineRule="auto" w:line="240"/>
              <w:jc w:val="left"/>
              <w:rPr/>
            </w:pPr>
            <w:r>
              <w:rPr>
                <w:rFonts w:ascii="Times New Roman" w:cs="Times New Roman" w:eastAsia="Times New Roman" w:hAnsi="Times New Roman"/>
                <w:b w:val="false"/>
                <w:bCs w:val="false"/>
                <w:sz w:val="18"/>
                <w:szCs w:val="18"/>
              </w:rPr>
              <w:t>Awareness campaigns reframing indigenous materials as modern and eco-conscious</w:t>
            </w:r>
          </w:p>
        </w:tc>
      </w:tr>
    </w:tbl>
    <w:p w14:paraId="28305806">
      <w:pPr>
        <w:pStyle w:val="style0"/>
        <w:spacing w:after="140"/>
        <w:rPr/>
      </w:pPr>
    </w:p>
    <w:p w14:paraId="16E12279">
      <w:pPr>
        <w:pStyle w:val="style0"/>
        <w:spacing w:before="180" w:after="100" w:lineRule="auto" w:line="480"/>
        <w:rPr/>
      </w:pPr>
      <w:r>
        <w:rPr>
          <w:rFonts w:ascii="Times New Roman" w:cs="Times New Roman" w:eastAsia="Times New Roman" w:hAnsi="Times New Roman"/>
          <w:b/>
          <w:bCs/>
          <w:i/>
          <w:iCs/>
          <w:sz w:val="24"/>
          <w:szCs w:val="24"/>
        </w:rPr>
        <w:t>A Pathway for Mainstreaming Indigenous Materials</w:t>
      </w:r>
    </w:p>
    <w:p w14:paraId="954B8DC9">
      <w:pPr>
        <w:pStyle w:val="style0"/>
        <w:spacing w:after="90" w:lineRule="auto" w:line="480"/>
        <w:jc w:val="both"/>
        <w:rPr/>
      </w:pPr>
      <w:r>
        <w:rPr>
          <w:rFonts w:ascii="Times New Roman" w:cs="Times New Roman" w:eastAsia="Times New Roman" w:hAnsi="Times New Roman"/>
          <w:sz w:val="24"/>
          <w:szCs w:val="24"/>
        </w:rPr>
        <w:t>Moving indigenous materials from the margins to the mainstream of Nigerian architecture is unlikely to happen through isolated projects alone; it requires a deliberate sequence of steps that connects research, regulation and the market. Figure 3 proposes such a pathway, beginning with documentation and material characterisation and ending with mainstream adoption once codes, training and demand have caught up with the underlying technical evidence.</w:t>
      </w:r>
    </w:p>
    <w:p w14:paraId="652F28A4">
      <w:pPr>
        <w:pStyle w:val="style0"/>
        <w:spacing w:before="120" w:after="60"/>
        <w:jc w:val="center"/>
        <w:rPr/>
      </w:pPr>
      <w:r>
        <w:rPr/>
        <w:drawing>
          <wp:inline distL="0" distT="0" distB="0" distR="0">
            <wp:extent cx="3809999" cy="1343025"/>
            <wp:effectExtent l="0" t="0" r="0" b="0"/>
            <wp:docPr id="1028"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 cstate="print"/>
                    <a:srcRect l="0" t="0" r="0" b="0"/>
                    <a:stretch/>
                  </pic:blipFill>
                  <pic:spPr>
                    <a:xfrm rot="0">
                      <a:off x="0" y="0"/>
                      <a:ext cx="3809999" cy="1343025"/>
                    </a:xfrm>
                    <a:prstGeom prst="rect"/>
                  </pic:spPr>
                </pic:pic>
              </a:graphicData>
            </a:graphic>
          </wp:inline>
        </w:drawing>
      </w:r>
    </w:p>
    <w:p w14:paraId="48103C65">
      <w:pPr>
        <w:pStyle w:val="style0"/>
        <w:spacing w:after="60" w:lineRule="auto" w:line="240"/>
        <w:jc w:val="center"/>
        <w:rPr/>
      </w:pPr>
      <w:r>
        <w:rPr>
          <w:rFonts w:ascii="Times New Roman" w:cs="Times New Roman" w:eastAsia="Times New Roman" w:hAnsi="Times New Roman"/>
          <w:i/>
          <w:iCs/>
          <w:sz w:val="20"/>
          <w:szCs w:val="20"/>
        </w:rPr>
        <w:t>Figure 3: Recommended pathway for mainstreaming indigenous materials into modern Nigerian architecture. Source: Authors' synthesis, 2026.</w:t>
      </w:r>
    </w:p>
    <w:p w14:paraId="61B07D14">
      <w:pPr>
        <w:pStyle w:val="style0"/>
        <w:keepNext/>
        <w:spacing w:before="200" w:after="100" w:lineRule="auto" w:line="480"/>
        <w:rPr/>
      </w:pPr>
      <w:r>
        <w:rPr>
          <w:rFonts w:ascii="Times New Roman" w:cs="Times New Roman" w:eastAsia="Times New Roman" w:hAnsi="Times New Roman"/>
          <w:b/>
          <w:bCs/>
          <w:color w:val="000000"/>
          <w:sz w:val="24"/>
          <w:szCs w:val="24"/>
        </w:rPr>
        <w:t>POLICY AND PROFESSIONAL IMPLICATIONS</w:t>
      </w:r>
    </w:p>
    <w:p w14:paraId="9C15CB00">
      <w:pPr>
        <w:pStyle w:val="style0"/>
        <w:spacing w:after="90" w:lineRule="auto" w:line="480"/>
        <w:jc w:val="both"/>
        <w:rPr/>
      </w:pPr>
      <w:r>
        <w:rPr>
          <w:rFonts w:ascii="Times New Roman" w:cs="Times New Roman" w:eastAsia="Times New Roman" w:hAnsi="Times New Roman"/>
          <w:sz w:val="24"/>
          <w:szCs w:val="24"/>
        </w:rPr>
        <w:t>Architects and engineers have a direct role to play by specifying indigenous materials where site conditions and client goals allow, rather than treating them as a fallback for low</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budget projects only. Doing so credibly requires professionals to update their understanding of current stabilisation and treatment techniques, since much of the scepticism documented in the literature rests on outdated impressions of durability (Adetoro &amp; Gambo, 2025). Educational institutions and professional bodies can support this shift by embedding indigenous</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material design and testing into curricula, addressing the skills gap identified around traditional finishing (Onuorah et al., 2022).</w:t>
      </w:r>
    </w:p>
    <w:p w14:paraId="76D17FDF">
      <w:pPr>
        <w:pStyle w:val="style0"/>
        <w:spacing w:after="60" w:lineRule="auto" w:line="480"/>
        <w:jc w:val="both"/>
        <w:rPr/>
      </w:pPr>
      <w:r>
        <w:rPr>
          <w:rFonts w:ascii="Times New Roman" w:cs="Times New Roman" w:eastAsia="Times New Roman" w:hAnsi="Times New Roman"/>
          <w:sz w:val="24"/>
          <w:szCs w:val="24"/>
        </w:rPr>
        <w:t>At policy level, agencies responsible for building regulation should extend formal recognition to properly stabilised earth blocks, treated bamboo systems and ash-blended cement products, supported by testing standards that give specifiers and inspectors a basis for approval. Public demonstration buildings, procured directly by government or supported through targeted grants, would give the sector visible, occupied examples that address the durability concerns limiting private-sector uptake.</w:t>
      </w:r>
    </w:p>
    <w:p w14:paraId="BF9FA18F">
      <w:pPr>
        <w:pStyle w:val="style0"/>
        <w:keepNext/>
        <w:spacing w:before="200" w:after="100" w:lineRule="auto" w:line="480"/>
        <w:rPr>
          <w:rFonts w:ascii="Times New Roman" w:cs="Times New Roman" w:eastAsia="Times New Roman" w:hAnsi="Times New Roman"/>
          <w:b/>
          <w:bCs/>
          <w:color w:val="000000"/>
          <w:sz w:val="24"/>
          <w:szCs w:val="24"/>
        </w:rPr>
      </w:pPr>
    </w:p>
    <w:p w14:paraId="7BC9AED2">
      <w:pPr>
        <w:pStyle w:val="style0"/>
        <w:keepNext/>
        <w:spacing w:before="200" w:after="100" w:lineRule="auto" w:line="480"/>
        <w:rPr/>
      </w:pPr>
      <w:r>
        <w:rPr>
          <w:rFonts w:ascii="Times New Roman" w:cs="Times New Roman" w:eastAsia="Times New Roman" w:hAnsi="Times New Roman"/>
          <w:b/>
          <w:bCs/>
          <w:color w:val="000000"/>
          <w:sz w:val="24"/>
          <w:szCs w:val="24"/>
        </w:rPr>
        <w:t>CONCLUSION</w:t>
      </w:r>
    </w:p>
    <w:p w14:paraId="CDCE1D96">
      <w:pPr>
        <w:pStyle w:val="style0"/>
        <w:spacing w:after="90" w:lineRule="auto" w:line="480"/>
        <w:jc w:val="both"/>
        <w:rPr/>
      </w:pPr>
      <w:r>
        <w:rPr>
          <w:rFonts w:ascii="Times New Roman" w:cs="Times New Roman" w:eastAsia="Times New Roman" w:hAnsi="Times New Roman"/>
          <w:sz w:val="24"/>
          <w:szCs w:val="24"/>
        </w:rPr>
        <w:t>This paper examined indigenous materials as a resource for modern architecture in Nigeria, drawing together recent evidence on earth-based, plant-based and waste-derived materials. The review shows that these materials already perform competitively on cost and embodied energy relative to conventional alternatives, and that pilot applications exist across housing, institutional and informal construction. What limits their wider use is not primarily technical: it is the combination of professional scepticism, thin code recognition, and a shrinking base of skilled traditional artisanship.</w:t>
      </w:r>
    </w:p>
    <w:p w14:paraId="DCB2F5E3">
      <w:pPr>
        <w:pStyle w:val="style0"/>
        <w:spacing w:after="60" w:lineRule="auto" w:line="480"/>
        <w:jc w:val="both"/>
        <w:rPr/>
      </w:pPr>
      <w:r>
        <w:rPr>
          <w:rFonts w:ascii="Times New Roman" w:cs="Times New Roman" w:eastAsia="Times New Roman" w:hAnsi="Times New Roman"/>
          <w:sz w:val="24"/>
          <w:szCs w:val="24"/>
        </w:rPr>
        <w:t>Bringing indigenous materials into mainstream Nigerian architecture therefore depends less on further material discovery than on deliberate, staged action: standardisation and testing, demonstration projects, training for artisans and professionals, and supportive building-code reform. Future research should test these indicative comparisons against measured data from occupied buildings across Nigeria's varied climatic zones, to build the locally grounded evidence base that policy and practice both require.</w:t>
      </w:r>
    </w:p>
    <w:p w14:paraId="D784DDD1">
      <w:pPr>
        <w:pStyle w:val="style0"/>
        <w:keepNext/>
        <w:spacing w:before="200" w:after="100" w:lineRule="auto" w:line="480"/>
        <w:rPr/>
      </w:pPr>
      <w:r>
        <w:rPr>
          <w:rFonts w:ascii="Times New Roman" w:cs="Times New Roman" w:eastAsia="Times New Roman" w:hAnsi="Times New Roman"/>
          <w:b/>
          <w:bCs/>
          <w:color w:val="000000"/>
          <w:sz w:val="24"/>
          <w:szCs w:val="24"/>
        </w:rPr>
        <w:t>RECOMMENDATIONS</w:t>
      </w:r>
    </w:p>
    <w:p w14:paraId="1A46769D">
      <w:pPr>
        <w:pStyle w:val="style0"/>
        <w:spacing w:after="60" w:lineRule="auto" w:line="360"/>
        <w:ind w:left="576" w:hanging="360"/>
        <w:rPr/>
      </w:pPr>
      <w:r>
        <w:rPr>
          <w:rFonts w:ascii="Times New Roman" w:cs="Times New Roman" w:eastAsia="Times New Roman" w:hAnsi="Times New Roman"/>
          <w:b/>
          <w:bCs/>
          <w:sz w:val="24"/>
          <w:szCs w:val="24"/>
        </w:rPr>
        <w:t xml:space="preserve">1. </w:t>
      </w:r>
      <w:r>
        <w:rPr>
          <w:rFonts w:ascii="Times New Roman" w:cs="Times New Roman" w:eastAsia="Times New Roman" w:hAnsi="Times New Roman"/>
          <w:sz w:val="24"/>
          <w:szCs w:val="24"/>
        </w:rPr>
        <w:t>Professional bodies should update continuing</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education content to reflect current stabilisation, treatment and testing techniques for indigenous materials, correcting outdated durability perceptions among practising architects and engineers.</w:t>
      </w:r>
    </w:p>
    <w:p w14:paraId="DF82B167">
      <w:pPr>
        <w:pStyle w:val="style0"/>
        <w:spacing w:after="60" w:lineRule="auto" w:line="360"/>
        <w:ind w:left="576" w:hanging="360"/>
        <w:rPr/>
      </w:pPr>
      <w:r>
        <w:rPr>
          <w:rFonts w:ascii="Times New Roman" w:cs="Times New Roman" w:eastAsia="Times New Roman" w:hAnsi="Times New Roman"/>
          <w:b/>
          <w:bCs/>
          <w:sz w:val="24"/>
          <w:szCs w:val="24"/>
        </w:rPr>
        <w:t xml:space="preserve">2. </w:t>
      </w:r>
      <w:r>
        <w:rPr>
          <w:rFonts w:ascii="Times New Roman" w:cs="Times New Roman" w:eastAsia="Times New Roman" w:hAnsi="Times New Roman"/>
          <w:sz w:val="24"/>
          <w:szCs w:val="24"/>
        </w:rPr>
        <w:t>Government building</w:t>
      </w:r>
      <w:r>
        <w:rPr>
          <w:rFonts w:ascii="Times New Roman" w:cs="Times New Roman" w:eastAsia="Times New Roman" w:hAnsi="Times New Roman"/>
          <w:sz w:val="24"/>
          <w:szCs w:val="24"/>
          <w:lang w:val="en-US"/>
        </w:rPr>
        <w:t xml:space="preserve"> r</w:t>
      </w:r>
      <w:r>
        <w:rPr>
          <w:rFonts w:ascii="Times New Roman" w:cs="Times New Roman" w:eastAsia="Times New Roman" w:hAnsi="Times New Roman"/>
          <w:sz w:val="24"/>
          <w:szCs w:val="24"/>
        </w:rPr>
        <w:t>egulation agencies should develop or adopt testing standards that give compressed and interlocking stabilised soil blocks, treated bamboo systems and ash-blended cement products formal standing in the national building code.</w:t>
      </w:r>
    </w:p>
    <w:p w14:paraId="76FBAA84">
      <w:pPr>
        <w:pStyle w:val="style0"/>
        <w:spacing w:after="60" w:lineRule="auto" w:line="360"/>
        <w:ind w:left="576" w:hanging="360"/>
        <w:rPr/>
      </w:pPr>
      <w:r>
        <w:rPr>
          <w:rFonts w:ascii="Times New Roman" w:cs="Times New Roman" w:eastAsia="Times New Roman" w:hAnsi="Times New Roman"/>
          <w:b/>
          <w:bCs/>
          <w:sz w:val="24"/>
          <w:szCs w:val="24"/>
        </w:rPr>
        <w:t xml:space="preserve">3. </w:t>
      </w:r>
      <w:r>
        <w:rPr>
          <w:rFonts w:ascii="Times New Roman" w:cs="Times New Roman" w:eastAsia="Times New Roman" w:hAnsi="Times New Roman"/>
          <w:sz w:val="24"/>
          <w:szCs w:val="24"/>
        </w:rPr>
        <w:t>State and local governments should commission demonstration buildings using indigenous materials in public facilities, providing visible, occupied reference projects for private-sector clients.</w:t>
      </w:r>
    </w:p>
    <w:p w14:paraId="6CDA17D8">
      <w:pPr>
        <w:pStyle w:val="style0"/>
        <w:spacing w:after="60" w:lineRule="auto" w:line="360"/>
        <w:ind w:left="576" w:hanging="360"/>
        <w:rPr/>
      </w:pPr>
      <w:r>
        <w:rPr>
          <w:rFonts w:ascii="Times New Roman" w:cs="Times New Roman" w:eastAsia="Times New Roman" w:hAnsi="Times New Roman"/>
          <w:b/>
          <w:bCs/>
          <w:sz w:val="24"/>
          <w:szCs w:val="24"/>
        </w:rPr>
        <w:t xml:space="preserve">4. </w:t>
      </w:r>
      <w:r>
        <w:rPr>
          <w:rFonts w:ascii="Times New Roman" w:cs="Times New Roman" w:eastAsia="Times New Roman" w:hAnsi="Times New Roman"/>
          <w:sz w:val="24"/>
          <w:szCs w:val="24"/>
        </w:rPr>
        <w:t>Polytechnics and universities should include hands-on training in indigenous-material production and traditional finishing techniques within architecture, building and civil</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engineering curricula.</w:t>
      </w:r>
    </w:p>
    <w:p w14:paraId="313A36EE">
      <w:pPr>
        <w:pStyle w:val="style0"/>
        <w:spacing w:after="60" w:lineRule="auto" w:line="360"/>
        <w:ind w:left="576" w:hanging="360"/>
        <w:rPr/>
      </w:pPr>
      <w:r>
        <w:rPr>
          <w:rFonts w:ascii="Times New Roman" w:cs="Times New Roman" w:eastAsia="Times New Roman" w:hAnsi="Times New Roman"/>
          <w:b/>
          <w:bCs/>
          <w:sz w:val="24"/>
          <w:szCs w:val="24"/>
        </w:rPr>
        <w:t xml:space="preserve">5. </w:t>
      </w:r>
      <w:r>
        <w:rPr>
          <w:rFonts w:ascii="Times New Roman" w:cs="Times New Roman" w:eastAsia="Times New Roman" w:hAnsi="Times New Roman"/>
          <w:sz w:val="24"/>
          <w:szCs w:val="24"/>
        </w:rPr>
        <w:t>Block-manufacturing and cement-blending enterprises should be supported, through grants or tax incentives, to scale up production of agricultural-waste pozzolans such as rice husk and sawdust ash.</w:t>
      </w:r>
    </w:p>
    <w:p w14:paraId="02D42A6F">
      <w:pPr>
        <w:pStyle w:val="style0"/>
        <w:spacing w:after="60" w:lineRule="auto" w:line="360"/>
        <w:ind w:left="576" w:hanging="36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 xml:space="preserve">6. </w:t>
      </w:r>
      <w:r>
        <w:rPr>
          <w:rFonts w:ascii="Times New Roman" w:cs="Times New Roman" w:eastAsia="Times New Roman" w:hAnsi="Times New Roman"/>
          <w:sz w:val="24"/>
          <w:szCs w:val="24"/>
        </w:rPr>
        <w:t>Future research should measure the in-service thermal, structural and durability performance of indigenous-material buildings across Nigeria's climatic zones to validate the indicative ranges presented in this paper.</w:t>
      </w:r>
    </w:p>
    <w:p w14:paraId="BD140990">
      <w:pPr>
        <w:pStyle w:val="style0"/>
        <w:spacing w:after="60" w:lineRule="auto" w:line="360"/>
        <w:ind w:left="576" w:hanging="360"/>
        <w:rPr/>
      </w:pPr>
    </w:p>
    <w:p w14:paraId="50C2C353">
      <w:pPr>
        <w:pStyle w:val="style0"/>
        <w:keepNext/>
        <w:spacing w:before="200" w:after="100" w:lineRule="auto" w:line="480"/>
        <w:rPr>
          <w:rFonts w:ascii="Times New Roman" w:cs="Times New Roman" w:eastAsia="Times New Roman" w:hAnsi="Times New Roman"/>
          <w:b/>
          <w:bCs/>
          <w:color w:val="000000"/>
          <w:sz w:val="24"/>
          <w:szCs w:val="24"/>
        </w:rPr>
      </w:pPr>
    </w:p>
    <w:p w14:paraId="2D4236D2">
      <w:pPr>
        <w:pStyle w:val="style0"/>
        <w:keepNext/>
        <w:spacing w:before="200" w:after="100" w:lineRule="auto" w:line="480"/>
        <w:rPr>
          <w:rFonts w:ascii="Times New Roman" w:cs="Times New Roman" w:eastAsia="Times New Roman" w:hAnsi="Times New Roman"/>
          <w:b/>
          <w:bCs/>
          <w:color w:val="000000"/>
          <w:sz w:val="24"/>
          <w:szCs w:val="24"/>
        </w:rPr>
      </w:pPr>
    </w:p>
    <w:p w14:paraId="65718D45">
      <w:pPr>
        <w:pStyle w:val="style0"/>
        <w:keepNext/>
        <w:spacing w:before="200" w:after="100" w:lineRule="auto" w:line="480"/>
        <w:rPr/>
      </w:pPr>
      <w:r>
        <w:rPr>
          <w:rFonts w:ascii="Times New Roman" w:cs="Times New Roman" w:eastAsia="Times New Roman" w:hAnsi="Times New Roman"/>
          <w:b/>
          <w:bCs/>
          <w:color w:val="000000"/>
          <w:sz w:val="24"/>
          <w:szCs w:val="24"/>
        </w:rPr>
        <w:t>REFERENCES</w:t>
      </w:r>
    </w:p>
    <w:p w14:paraId="2D3FE86D">
      <w:pPr>
        <w:pStyle w:val="style0"/>
        <w:spacing w:after="100" w:lineRule="auto" w:line="240"/>
        <w:ind w:left="720" w:hanging="720"/>
        <w:jc w:val="both"/>
        <w:rPr/>
      </w:pPr>
      <w:r>
        <w:rPr>
          <w:rFonts w:ascii="Times New Roman" w:cs="Times New Roman" w:eastAsia="Times New Roman" w:hAnsi="Times New Roman"/>
          <w:sz w:val="22"/>
          <w:szCs w:val="22"/>
        </w:rPr>
        <w:t>Adetoro, O. C., &amp; Gambo, E. B. (2025). Sustainable futures in indigenous architecture: A study of contemporary professional engagement with mud techniques in Nigeria. Frontiers in Built Environment, 11, 1674149.</w:t>
      </w:r>
    </w:p>
    <w:p w14:paraId="5C10D7A5">
      <w:pPr>
        <w:pStyle w:val="style0"/>
        <w:spacing w:after="100" w:lineRule="auto" w:line="240"/>
        <w:ind w:left="720" w:hanging="720"/>
        <w:jc w:val="both"/>
        <w:rPr/>
      </w:pPr>
      <w:r>
        <w:rPr>
          <w:rFonts w:ascii="Times New Roman" w:cs="Times New Roman" w:eastAsia="Times New Roman" w:hAnsi="Times New Roman"/>
          <w:sz w:val="22"/>
          <w:szCs w:val="22"/>
        </w:rPr>
        <w:t>Aniegbuna, A. I., &amp; Okolie, K. C. (2021). Exploring the potentials in bamboo as a sustainable building material for construction in South East Nigeria. Environmental Review, 8(2), 73-84.</w:t>
      </w:r>
    </w:p>
    <w:p w14:paraId="FBBE2637">
      <w:pPr>
        <w:pStyle w:val="style0"/>
        <w:spacing w:after="100" w:lineRule="auto" w:line="240"/>
        <w:ind w:left="720" w:hanging="720"/>
        <w:jc w:val="both"/>
        <w:rPr/>
      </w:pPr>
      <w:r>
        <w:rPr>
          <w:rFonts w:ascii="Times New Roman" w:cs="Times New Roman" w:eastAsia="Times New Roman" w:hAnsi="Times New Roman"/>
          <w:sz w:val="22"/>
          <w:szCs w:val="22"/>
        </w:rPr>
        <w:t>Ezekiel, R. (2021). Modernization and the decline of indigenous architecture in South-Eastern Nigeria: Cultural and environmental implications. Heritage and Sustainability Press.</w:t>
      </w:r>
    </w:p>
    <w:p w14:paraId="1C27EF47">
      <w:pPr>
        <w:pStyle w:val="style0"/>
        <w:spacing w:after="100" w:lineRule="auto" w:line="240"/>
        <w:ind w:left="720" w:hanging="720"/>
        <w:jc w:val="both"/>
        <w:rPr/>
      </w:pPr>
      <w:r>
        <w:rPr>
          <w:rFonts w:ascii="Times New Roman" w:cs="Times New Roman" w:eastAsia="Times New Roman" w:hAnsi="Times New Roman"/>
          <w:sz w:val="22"/>
          <w:szCs w:val="22"/>
        </w:rPr>
        <w:t>Fapohunda, C., Kilani, A., Adigo, B., Ajayi, L., Famodimu, B., Oladipupo, O., &amp; Jeje, A. (2021). A review of some agricultural wastes in Nigeria for sustainability in the production of structural concrete. Nigerian Journal of Technological Development, 18(2), 76-87.</w:t>
      </w:r>
    </w:p>
    <w:p w14:paraId="7D4A205D">
      <w:pPr>
        <w:pStyle w:val="style0"/>
        <w:spacing w:after="100" w:lineRule="auto" w:line="240"/>
        <w:ind w:left="720" w:hanging="720"/>
        <w:jc w:val="both"/>
        <w:rPr/>
      </w:pPr>
      <w:r>
        <w:rPr>
          <w:rFonts w:ascii="Times New Roman" w:cs="Times New Roman" w:eastAsia="Times New Roman" w:hAnsi="Times New Roman"/>
          <w:sz w:val="22"/>
          <w:szCs w:val="22"/>
        </w:rPr>
        <w:t>Hanafi, W. H. (2021). Compressed stabilized earth block: Environmentally sustainable alternative for villages housing. Journal of Engineering and Applied Science, 68(1), 1-13.</w:t>
      </w:r>
    </w:p>
    <w:p w14:paraId="D41859FD">
      <w:pPr>
        <w:pStyle w:val="style0"/>
        <w:spacing w:after="100" w:lineRule="auto" w:line="240"/>
        <w:ind w:left="720" w:hanging="720"/>
        <w:jc w:val="both"/>
        <w:rPr/>
      </w:pPr>
      <w:r>
        <w:rPr>
          <w:rFonts w:ascii="Times New Roman" w:cs="Times New Roman" w:eastAsia="Times New Roman" w:hAnsi="Times New Roman"/>
          <w:sz w:val="22"/>
          <w:szCs w:val="22"/>
        </w:rPr>
        <w:t>Ibitoye, O. A., Abiola, O. A., &amp; Babamboni, A. S. (2023). Demographic characteristics of housing estates developed with ISSB technology in selected Southwestern Nigerian cities. FUDMA Journal of Sciences, 7(2), 275-283.</w:t>
      </w:r>
    </w:p>
    <w:p w14:paraId="FB7CC721">
      <w:pPr>
        <w:pStyle w:val="style0"/>
        <w:spacing w:after="100" w:lineRule="auto" w:line="240"/>
        <w:ind w:left="720" w:hanging="720"/>
        <w:jc w:val="both"/>
        <w:rPr/>
      </w:pPr>
      <w:r>
        <w:rPr>
          <w:rFonts w:ascii="Times New Roman" w:cs="Times New Roman" w:eastAsia="Times New Roman" w:hAnsi="Times New Roman"/>
          <w:sz w:val="22"/>
          <w:szCs w:val="22"/>
        </w:rPr>
        <w:t>Isukuru, E. J., Ogunkeyede, A. O., Adebayo, A. A., &amp; Uruejoma, M. F. (2023). Potentials of bamboo and its ecological benefits in Nigeria. Advances in Bamboo Science, 4, 100032.</w:t>
      </w:r>
    </w:p>
    <w:p w14:paraId="A31118BE">
      <w:pPr>
        <w:pStyle w:val="style0"/>
        <w:spacing w:after="100" w:lineRule="auto" w:line="240"/>
        <w:ind w:left="720" w:hanging="720"/>
        <w:jc w:val="both"/>
        <w:rPr/>
      </w:pPr>
      <w:r>
        <w:rPr>
          <w:rFonts w:ascii="Times New Roman" w:cs="Times New Roman" w:eastAsia="Times New Roman" w:hAnsi="Times New Roman"/>
          <w:sz w:val="22"/>
          <w:szCs w:val="22"/>
        </w:rPr>
        <w:t>Nwoke, P. (2019). The evolution of indigenous architecture in South-Eastern Nigeria: Impacts on modern construction practices. Eco-Architecture Publishing.</w:t>
      </w:r>
    </w:p>
    <w:p w14:paraId="D8E77707">
      <w:pPr>
        <w:pStyle w:val="style0"/>
        <w:spacing w:after="100" w:lineRule="auto" w:line="240"/>
        <w:ind w:left="720" w:hanging="720"/>
        <w:jc w:val="both"/>
        <w:rPr/>
      </w:pPr>
      <w:r>
        <w:rPr>
          <w:rFonts w:ascii="Times New Roman" w:cs="Times New Roman" w:eastAsia="Times New Roman" w:hAnsi="Times New Roman"/>
          <w:sz w:val="22"/>
          <w:szCs w:val="22"/>
        </w:rPr>
        <w:t>Okafor, J. (2020). Sustaining indigenous architecture: Challenges and opportunities in South-Eastern Nigeria. Eco-Design Publications.</w:t>
      </w:r>
    </w:p>
    <w:p w14:paraId="C0EE1BC1">
      <w:pPr>
        <w:pStyle w:val="style0"/>
        <w:spacing w:after="100" w:lineRule="auto" w:line="240"/>
        <w:ind w:left="720" w:hanging="720"/>
        <w:jc w:val="both"/>
        <w:rPr/>
      </w:pPr>
      <w:r>
        <w:rPr>
          <w:rFonts w:ascii="Times New Roman" w:cs="Times New Roman" w:eastAsia="Times New Roman" w:hAnsi="Times New Roman"/>
          <w:sz w:val="22"/>
          <w:szCs w:val="22"/>
        </w:rPr>
        <w:t>Okechukwu, T., &amp; Ibe, K. (2018). The impact of imported materials on sustainable construction in Nigeria: Challenges and alternatives. Green Architecture Press.</w:t>
      </w:r>
    </w:p>
    <w:p w14:paraId="04C49BA0">
      <w:pPr>
        <w:pStyle w:val="style0"/>
        <w:spacing w:after="100" w:lineRule="auto" w:line="240"/>
        <w:ind w:left="720" w:hanging="720"/>
        <w:jc w:val="both"/>
        <w:rPr/>
      </w:pPr>
      <w:r>
        <w:rPr>
          <w:rFonts w:ascii="Times New Roman" w:cs="Times New Roman" w:eastAsia="Times New Roman" w:hAnsi="Times New Roman"/>
          <w:sz w:val="22"/>
          <w:szCs w:val="22"/>
        </w:rPr>
        <w:t>Olaleye, A. A., &amp; Ibitoye, O. A. (2023). Architects' response on utilisation of interlocking stabilised soil blocks as an alternative building material for housing projects in Southwest Nigeria. FUDMA Journal of Sciences, 6(5), 198-202.</w:t>
      </w:r>
    </w:p>
    <w:p w14:paraId="1F21F079">
      <w:pPr>
        <w:pStyle w:val="style0"/>
        <w:spacing w:after="100" w:lineRule="auto" w:line="240"/>
        <w:ind w:left="720" w:hanging="720"/>
        <w:jc w:val="both"/>
        <w:rPr/>
      </w:pPr>
      <w:r>
        <w:rPr>
          <w:rFonts w:ascii="Times New Roman" w:cs="Times New Roman" w:eastAsia="Times New Roman" w:hAnsi="Times New Roman"/>
          <w:sz w:val="22"/>
          <w:szCs w:val="22"/>
        </w:rPr>
        <w:t>Onuorah, I. M., Agbonome, P. C., &amp; Obiadi, B. N. (2022). A comparative study of Igbo traditional building finishings. International Journal of Research and Scientific Innovation, 9(12), 99-107.</w:t>
      </w:r>
    </w:p>
    <w:p w14:paraId="8E6DA496">
      <w:pPr>
        <w:pStyle w:val="style0"/>
        <w:spacing w:after="100" w:lineRule="auto" w:line="240"/>
        <w:ind w:left="720" w:hanging="720"/>
        <w:jc w:val="both"/>
        <w:rPr/>
      </w:pPr>
      <w:r>
        <w:rPr>
          <w:rFonts w:ascii="Times New Roman" w:cs="Times New Roman" w:eastAsia="Times New Roman" w:hAnsi="Times New Roman"/>
          <w:sz w:val="22"/>
          <w:szCs w:val="22"/>
        </w:rPr>
        <w:t>Raheem, A. A., &amp; Bello, T. (2025). Characterization of rice husk ash obtained from five rice producing companies in Nigeria. Materials Research Proceedings.</w:t>
      </w:r>
    </w:p>
    <w:p w14:paraId="F471A372">
      <w:pPr>
        <w:pStyle w:val="style0"/>
        <w:spacing w:after="100" w:lineRule="auto" w:line="240"/>
        <w:ind w:left="720" w:hanging="720"/>
        <w:jc w:val="both"/>
        <w:rPr/>
      </w:pPr>
      <w:r>
        <w:rPr>
          <w:rFonts w:ascii="Times New Roman" w:cs="Times New Roman" w:eastAsia="Times New Roman" w:hAnsi="Times New Roman"/>
          <w:sz w:val="22"/>
          <w:szCs w:val="22"/>
        </w:rPr>
        <w:t>Sinha, S., Sudarsan, J. S., &amp; Abhyankar, A. A. (2026). Compressed stabilized earth blocks for sustainable building construction: A PRISMA-guided systematic review and TCCM analysis. Buildings, 16(8), 1633.</w:t>
      </w:r>
    </w:p>
    <w:sectPr>
      <w:headerReference w:type="default" r:id="rId5"/>
      <w:footerReference w:type="default" r:id="rId6"/>
      <w:pgSz w:w="11900" w:h="16840" w:orient="portrait"/>
      <w:pgMar w:top="1127" w:right="1021" w:bottom="1255" w:left="1656"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宋体"/>
    <w:panose1 w:val="02010600030000010101"/>
    <w:charset w:val="7a"/>
    <w:family w:val="auto"/>
    <w:pitch w:val="default"/>
    <w:sig w:usb0="00000003" w:usb1="080E0000" w:usb2="00000000" w:usb3="00000000" w:csb0="00040001"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F35FBE13">
    <w:pPr>
      <w:pStyle w:val="style0"/>
      <w:jc w:val="center"/>
      <w:rPr/>
    </w:pPr>
    <w:r>
      <w:rPr>
        <w:rFonts w:ascii="Times New Roman" w:cs="Times New Roman" w:eastAsia="Times New Roman" w:hAnsi="Times New Roman"/>
        <w:sz w:val="20"/>
        <w:szCs w:val="20"/>
      </w:rPr>
      <w:fldChar w:fldCharType="begin"/>
    </w:r>
    <w:r>
      <w:rPr>
        <w:rFonts w:ascii="Times New Roman" w:cs="Times New Roman" w:eastAsia="Times New Roman" w:hAnsi="Times New Roman"/>
        <w:sz w:val="20"/>
        <w:szCs w:val="20"/>
      </w:rPr>
      <w:instrText>PAGE</w:instrText>
    </w:r>
    <w:r>
      <w:rPr>
        <w:rFonts w:ascii="Times New Roman" w:cs="Times New Roman" w:eastAsia="Times New Roman" w:hAnsi="Times New Roman"/>
        <w:sz w:val="20"/>
        <w:szCs w:val="20"/>
      </w:rPr>
      <w:fldChar w:fldCharType="separate"/>
    </w:r>
    <w:r>
      <w:rPr>
        <w:rFonts w:ascii="Times New Roman" w:cs="Times New Roman" w:eastAsia="Times New Roman" w:hAnsi="Times New Roman"/>
        <w:sz w:val="20"/>
        <w:szCs w:val="20"/>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D92B2FA5">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1"/>
    <w:multiLevelType w:val="hybridMultilevel"/>
    <w:tmpl w:val="B2603CAE"/>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nsid w:val="00000002"/>
    <w:multiLevelType w:val="hybridMultilevel"/>
    <w:tmpl w:val="713A6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2"/>
  </w:num>
  <w:num w:numId="2">
    <w:abstractNumId w:val="0"/>
    <w:lvlOverride w:ilvl="0">
      <w:startOverride w:val="1"/>
    </w:lvlOverride>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dae1136c-7dd7-4b5f-83ac-6828884ebc2a"/>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156</TotalTime>
  <Words>2999</Words>
  <Characters>19365</Characters>
  <Application>WPS Office</Application>
  <Paragraphs>199</Paragraphs>
  <CharactersWithSpaces>22224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2026-09-23T09:57:44Z</dcterms:created>
  <dc:creator>Un-named</dc:creator>
  <lastModifiedBy>SM-A075F</lastModifiedBy>
  <dcterms:modified xsi:type="dcterms:W3CDTF">2026-09-26T21:37:14Z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f3046af4caf24fc8a69ea06c013e1c18</vt:lpwstr>
  </property>
</Properties>
</file>